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A32D0" w14:textId="77777777" w:rsidR="00272323" w:rsidRDefault="00272323" w:rsidP="0050536A">
      <w:pPr>
        <w:spacing w:after="120"/>
        <w:jc w:val="both"/>
        <w:rPr>
          <w:rFonts w:asciiTheme="majorHAnsi" w:eastAsia="Calibri" w:hAnsiTheme="majorHAnsi" w:cstheme="majorHAnsi"/>
          <w:sz w:val="20"/>
          <w:szCs w:val="20"/>
        </w:rPr>
      </w:pPr>
    </w:p>
    <w:p w14:paraId="7F7C2881" w14:textId="77777777" w:rsidR="00272323" w:rsidRDefault="00272323" w:rsidP="0050536A">
      <w:pPr>
        <w:spacing w:after="120"/>
        <w:jc w:val="right"/>
        <w:rPr>
          <w:rFonts w:asciiTheme="majorHAnsi" w:eastAsia="Calibri" w:hAnsiTheme="majorHAnsi" w:cstheme="majorHAnsi"/>
          <w:sz w:val="20"/>
          <w:szCs w:val="20"/>
        </w:rPr>
      </w:pPr>
    </w:p>
    <w:p w14:paraId="592ADFFD" w14:textId="77777777" w:rsidR="00272323" w:rsidRDefault="00272323" w:rsidP="0050536A">
      <w:pPr>
        <w:spacing w:after="120"/>
        <w:jc w:val="right"/>
        <w:rPr>
          <w:rFonts w:asciiTheme="majorHAnsi" w:eastAsia="Calibri" w:hAnsiTheme="majorHAnsi" w:cstheme="majorHAnsi"/>
          <w:sz w:val="20"/>
          <w:szCs w:val="20"/>
        </w:rPr>
      </w:pPr>
    </w:p>
    <w:p w14:paraId="5CDFC1F4" w14:textId="77777777" w:rsidR="00272323" w:rsidRDefault="00A25768" w:rsidP="0050536A">
      <w:pPr>
        <w:spacing w:after="120"/>
        <w:jc w:val="right"/>
        <w:rPr>
          <w:rFonts w:asciiTheme="majorHAnsi" w:eastAsia="Calibri" w:hAnsiTheme="majorHAnsi" w:cstheme="majorHAnsi"/>
          <w:sz w:val="20"/>
          <w:szCs w:val="20"/>
        </w:rPr>
      </w:pPr>
      <w:r>
        <w:rPr>
          <w:rFonts w:asciiTheme="majorHAnsi" w:eastAsia="Calibri" w:hAnsiTheme="majorHAnsi" w:cstheme="majorHAnsi"/>
          <w:sz w:val="20"/>
          <w:szCs w:val="20"/>
        </w:rPr>
        <w:t xml:space="preserve">Nantes, le 21 mai 2025 </w:t>
      </w:r>
    </w:p>
    <w:p w14:paraId="0F208DB4" w14:textId="77777777" w:rsidR="00272323" w:rsidRDefault="00A25768" w:rsidP="0050536A">
      <w:pPr>
        <w:spacing w:beforeAutospacing="1" w:after="120"/>
        <w:jc w:val="both"/>
        <w:rPr>
          <w:rFonts w:ascii="Arial" w:hAnsi="Arial"/>
          <w:b/>
          <w:bCs/>
          <w:color w:val="ED7D31"/>
          <w:sz w:val="48"/>
          <w:szCs w:val="48"/>
        </w:rPr>
      </w:pPr>
      <w:r>
        <w:rPr>
          <w:rFonts w:ascii="Arial" w:hAnsi="Arial"/>
          <w:b/>
          <w:bCs/>
          <w:color w:val="ED7D31"/>
          <w:sz w:val="48"/>
          <w:szCs w:val="48"/>
        </w:rPr>
        <w:t>Nantes Métropole et Territoire d’énergie Loire-Atlantique lancent le premier contrat public d’achat direct en France</w:t>
      </w:r>
    </w:p>
    <w:p w14:paraId="6EE8E09E" w14:textId="57479385" w:rsidR="00272323" w:rsidRDefault="00A25768" w:rsidP="0050536A">
      <w:pPr>
        <w:spacing w:beforeAutospacing="1" w:after="120"/>
        <w:jc w:val="both"/>
        <w:rPr>
          <w:rFonts w:asciiTheme="majorHAnsi" w:hAnsiTheme="majorHAnsi" w:cstheme="majorHAnsi"/>
          <w:b/>
          <w:bCs/>
          <w:sz w:val="20"/>
          <w:szCs w:val="20"/>
        </w:rPr>
      </w:pPr>
      <w:r>
        <w:rPr>
          <w:rFonts w:asciiTheme="majorHAnsi" w:hAnsiTheme="majorHAnsi" w:cstheme="majorHAnsi"/>
          <w:b/>
          <w:bCs/>
          <w:sz w:val="20"/>
          <w:szCs w:val="20"/>
        </w:rPr>
        <w:t>En lançant le premier Contrat d’achat direct d’énergie</w:t>
      </w:r>
      <w:r w:rsidR="008678C0">
        <w:rPr>
          <w:rFonts w:asciiTheme="majorHAnsi" w:hAnsiTheme="majorHAnsi" w:cstheme="majorHAnsi"/>
          <w:b/>
          <w:bCs/>
          <w:sz w:val="20"/>
          <w:szCs w:val="20"/>
        </w:rPr>
        <w:t>s</w:t>
      </w:r>
      <w:r>
        <w:rPr>
          <w:rFonts w:asciiTheme="majorHAnsi" w:hAnsiTheme="majorHAnsi" w:cstheme="majorHAnsi"/>
          <w:b/>
          <w:bCs/>
          <w:sz w:val="20"/>
          <w:szCs w:val="20"/>
        </w:rPr>
        <w:t xml:space="preserve"> renouvelable</w:t>
      </w:r>
      <w:r w:rsidR="008678C0">
        <w:rPr>
          <w:rFonts w:asciiTheme="majorHAnsi" w:hAnsiTheme="majorHAnsi" w:cstheme="majorHAnsi"/>
          <w:b/>
          <w:bCs/>
          <w:sz w:val="20"/>
          <w:szCs w:val="20"/>
        </w:rPr>
        <w:t>s</w:t>
      </w:r>
      <w:r>
        <w:rPr>
          <w:rFonts w:asciiTheme="majorHAnsi" w:hAnsiTheme="majorHAnsi" w:cstheme="majorHAnsi"/>
          <w:b/>
          <w:bCs/>
          <w:sz w:val="20"/>
          <w:szCs w:val="20"/>
        </w:rPr>
        <w:t xml:space="preserve"> publique</w:t>
      </w:r>
      <w:r>
        <w:rPr>
          <w:rFonts w:asciiTheme="majorHAnsi" w:hAnsiTheme="majorHAnsi" w:cstheme="majorHAnsi"/>
          <w:sz w:val="20"/>
          <w:szCs w:val="20"/>
        </w:rPr>
        <w:t xml:space="preserve"> </w:t>
      </w:r>
      <w:r>
        <w:rPr>
          <w:rFonts w:asciiTheme="majorHAnsi" w:hAnsiTheme="majorHAnsi" w:cstheme="majorHAnsi"/>
          <w:b/>
          <w:bCs/>
          <w:sz w:val="20"/>
          <w:szCs w:val="20"/>
        </w:rPr>
        <w:t xml:space="preserve">(CADER ou PPA) en France, Nantes Métropole et Territoire d’énergie Loire-Atlantique (TE44) </w:t>
      </w:r>
      <w:proofErr w:type="gramStart"/>
      <w:r>
        <w:rPr>
          <w:rFonts w:asciiTheme="majorHAnsi" w:hAnsiTheme="majorHAnsi" w:cstheme="majorHAnsi"/>
          <w:b/>
          <w:bCs/>
          <w:sz w:val="20"/>
          <w:szCs w:val="20"/>
        </w:rPr>
        <w:t>innovent</w:t>
      </w:r>
      <w:proofErr w:type="gramEnd"/>
      <w:r>
        <w:rPr>
          <w:rFonts w:asciiTheme="majorHAnsi" w:hAnsiTheme="majorHAnsi" w:cstheme="majorHAnsi"/>
          <w:b/>
          <w:bCs/>
          <w:sz w:val="20"/>
          <w:szCs w:val="20"/>
        </w:rPr>
        <w:t xml:space="preserve"> en mettant en œuvre un mécanisme inédit dans le paysage des </w:t>
      </w:r>
      <w:r>
        <w:rPr>
          <w:rFonts w:asciiTheme="majorHAnsi" w:hAnsiTheme="majorHAnsi" w:cstheme="majorHAnsi"/>
          <w:b/>
          <w:sz w:val="20"/>
          <w:szCs w:val="20"/>
        </w:rPr>
        <w:t>marchés</w:t>
      </w:r>
      <w:r>
        <w:rPr>
          <w:rFonts w:asciiTheme="majorHAnsi" w:hAnsiTheme="majorHAnsi" w:cstheme="majorHAnsi"/>
          <w:b/>
          <w:bCs/>
          <w:sz w:val="20"/>
          <w:szCs w:val="20"/>
        </w:rPr>
        <w:t xml:space="preserve"> publics.  Cette démarche pionnière permet d’acheter directement de l’électricité </w:t>
      </w:r>
      <w:r>
        <w:rPr>
          <w:rFonts w:asciiTheme="majorHAnsi" w:hAnsiTheme="majorHAnsi" w:cstheme="majorHAnsi"/>
          <w:b/>
          <w:sz w:val="20"/>
          <w:szCs w:val="20"/>
        </w:rPr>
        <w:t xml:space="preserve">renouvelable </w:t>
      </w:r>
      <w:r>
        <w:rPr>
          <w:rFonts w:asciiTheme="majorHAnsi" w:hAnsiTheme="majorHAnsi" w:cstheme="majorHAnsi"/>
          <w:b/>
          <w:bCs/>
          <w:sz w:val="20"/>
          <w:szCs w:val="20"/>
        </w:rPr>
        <w:t xml:space="preserve">à des producteurs qui peuvent être locaux, tout en associant d’autres acteurs publics du territoire dans une dynamique collective et durable. </w:t>
      </w:r>
    </w:p>
    <w:p w14:paraId="76FE105F" w14:textId="77777777" w:rsidR="00272323" w:rsidRDefault="00A25768" w:rsidP="0050536A">
      <w:pPr>
        <w:spacing w:beforeAutospacing="1" w:after="120"/>
        <w:jc w:val="both"/>
        <w:rPr>
          <w:rFonts w:asciiTheme="majorHAnsi" w:hAnsiTheme="majorHAnsi" w:cstheme="majorHAnsi"/>
          <w:b/>
          <w:bCs/>
          <w:sz w:val="20"/>
          <w:szCs w:val="20"/>
          <w:lang w:eastAsia="fr-FR"/>
        </w:rPr>
      </w:pPr>
      <w:r>
        <w:rPr>
          <w:rFonts w:asciiTheme="majorHAnsi" w:hAnsiTheme="majorHAnsi" w:cstheme="majorHAnsi"/>
          <w:b/>
          <w:bCs/>
          <w:sz w:val="20"/>
          <w:szCs w:val="20"/>
          <w:lang w:eastAsia="fr-FR"/>
        </w:rPr>
        <w:t xml:space="preserve">Afin de partager l’expérience menée depuis </w:t>
      </w:r>
      <w:r>
        <w:rPr>
          <w:rFonts w:asciiTheme="majorHAnsi" w:hAnsiTheme="majorHAnsi" w:cstheme="majorHAnsi"/>
          <w:b/>
          <w:sz w:val="20"/>
          <w:szCs w:val="20"/>
          <w:lang w:eastAsia="fr-FR"/>
        </w:rPr>
        <w:t xml:space="preserve">bientôt 2 ans </w:t>
      </w:r>
      <w:r>
        <w:rPr>
          <w:rFonts w:asciiTheme="majorHAnsi" w:hAnsiTheme="majorHAnsi" w:cstheme="majorHAnsi"/>
          <w:b/>
          <w:bCs/>
          <w:sz w:val="20"/>
          <w:szCs w:val="20"/>
          <w:lang w:eastAsia="fr-FR"/>
        </w:rPr>
        <w:t>dans le montage de ce contrat inédit, Nantes Métropole et TE44 organisent ce 21 mai, en partenariat avec la FNCCR et France Urbaine, une journée nationale pour dévoiler les enjeux et défis des CADER.</w:t>
      </w:r>
      <w:r>
        <w:rPr>
          <w:rFonts w:asciiTheme="majorHAnsi" w:hAnsiTheme="majorHAnsi" w:cstheme="majorHAnsi"/>
          <w:b/>
          <w:bCs/>
          <w:sz w:val="20"/>
          <w:szCs w:val="20"/>
        </w:rPr>
        <w:t xml:space="preserve"> </w:t>
      </w:r>
      <w:r>
        <w:rPr>
          <w:rFonts w:asciiTheme="majorHAnsi" w:hAnsiTheme="majorHAnsi" w:cstheme="majorHAnsi"/>
          <w:b/>
          <w:bCs/>
          <w:sz w:val="20"/>
          <w:szCs w:val="20"/>
          <w:lang w:eastAsia="fr-FR"/>
        </w:rPr>
        <w:t>Objectif : Encourager les collectivités territoriales à dupliquer partout en France cette démarche certes complexe mais vertueuse sur leur territoire.</w:t>
      </w:r>
    </w:p>
    <w:p w14:paraId="0BC6F9D6" w14:textId="77777777" w:rsidR="00272323" w:rsidRDefault="00272323" w:rsidP="0050536A">
      <w:pPr>
        <w:spacing w:after="120"/>
      </w:pPr>
    </w:p>
    <w:p w14:paraId="6B6B3AD1" w14:textId="77777777" w:rsidR="00272323" w:rsidRDefault="00A25768" w:rsidP="0050536A">
      <w:pPr>
        <w:spacing w:after="120"/>
        <w:ind w:left="720"/>
        <w:jc w:val="both"/>
        <w:rPr>
          <w:rFonts w:asciiTheme="majorHAnsi" w:hAnsiTheme="majorHAnsi" w:cstheme="majorHAnsi"/>
          <w:b/>
          <w:bCs/>
          <w:sz w:val="20"/>
          <w:szCs w:val="20"/>
        </w:rPr>
      </w:pPr>
      <w:r>
        <w:rPr>
          <w:rFonts w:asciiTheme="majorHAnsi" w:hAnsiTheme="majorHAnsi" w:cstheme="majorHAnsi"/>
          <w:i/>
          <w:iCs/>
          <w:sz w:val="20"/>
          <w:szCs w:val="20"/>
        </w:rPr>
        <w:t>« Le CADER est un formidable outil au service des collectivités territoriales qui souhaitent diversifier leurs sources d’achat d’énergie, renforcer la sécurité de leur approvisionnement et accélérer le développement des énergies renouvelables. Nous sommes fiers de figurer parmi les pionniers de cette démarche d’achat direct en nous associant à des acteurs de nos territoires proches, avec la volonté de déclencher une dynamique de long terme ».</w:t>
      </w:r>
      <w:r>
        <w:rPr>
          <w:rFonts w:asciiTheme="majorHAnsi" w:hAnsiTheme="majorHAnsi" w:cstheme="majorHAnsi"/>
          <w:sz w:val="20"/>
          <w:szCs w:val="20"/>
        </w:rPr>
        <w:t xml:space="preserve"> </w:t>
      </w:r>
      <w:r>
        <w:rPr>
          <w:rFonts w:asciiTheme="majorHAnsi" w:hAnsiTheme="majorHAnsi" w:cstheme="majorHAnsi"/>
          <w:b/>
          <w:bCs/>
          <w:sz w:val="20"/>
          <w:szCs w:val="20"/>
        </w:rPr>
        <w:t>Tristan Riom, vice-président de Nantes Métropole en charge de l’énergie-climat</w:t>
      </w:r>
    </w:p>
    <w:p w14:paraId="0BBC46FC" w14:textId="77777777" w:rsidR="00272323" w:rsidRDefault="00272323" w:rsidP="0050536A">
      <w:pPr>
        <w:spacing w:after="120"/>
        <w:ind w:left="720"/>
        <w:jc w:val="both"/>
        <w:rPr>
          <w:rFonts w:asciiTheme="majorHAnsi" w:hAnsiTheme="majorHAnsi" w:cstheme="majorHAnsi"/>
          <w:sz w:val="20"/>
          <w:szCs w:val="20"/>
        </w:rPr>
      </w:pPr>
    </w:p>
    <w:p w14:paraId="50FBEA1E" w14:textId="77777777" w:rsidR="00272323" w:rsidRDefault="00A25768" w:rsidP="0050536A">
      <w:pPr>
        <w:pStyle w:val="Paragraphedeliste"/>
        <w:suppressAutoHyphens w:val="0"/>
        <w:spacing w:after="120" w:line="240" w:lineRule="auto"/>
        <w:contextualSpacing w:val="0"/>
        <w:rPr>
          <w:rFonts w:eastAsia="Times New Roman"/>
          <w:sz w:val="20"/>
          <w:szCs w:val="20"/>
        </w:rPr>
      </w:pPr>
      <w:r>
        <w:rPr>
          <w:rFonts w:eastAsia="Times New Roman"/>
          <w:i/>
          <w:iCs/>
          <w:sz w:val="20"/>
          <w:szCs w:val="20"/>
        </w:rPr>
        <w:t>« Nous espérons tous qu’au terme de cette journée, d’autres territoires s’empareront de cette logique. Parce que le CADER, ce n’est pas une vitrine : c’est un outil de résilience, un levier de coopération, et une porte d’entrée vers une commande publique plus durable, plus sobre, et plus engagée ».</w:t>
      </w:r>
      <w:r>
        <w:rPr>
          <w:rFonts w:eastAsia="Times New Roman"/>
          <w:sz w:val="20"/>
          <w:szCs w:val="20"/>
        </w:rPr>
        <w:t xml:space="preserve"> </w:t>
      </w:r>
      <w:r>
        <w:rPr>
          <w:rFonts w:eastAsia="Times New Roman"/>
          <w:b/>
          <w:bCs/>
          <w:sz w:val="20"/>
          <w:szCs w:val="20"/>
        </w:rPr>
        <w:t>Frédérick Dunet, vice-président de TE44 </w:t>
      </w:r>
    </w:p>
    <w:p w14:paraId="6B51600E" w14:textId="77777777" w:rsidR="00272323" w:rsidRDefault="00A25768" w:rsidP="0050536A">
      <w:pPr>
        <w:spacing w:beforeAutospacing="1" w:after="120"/>
        <w:jc w:val="both"/>
        <w:rPr>
          <w:rFonts w:asciiTheme="majorHAnsi" w:hAnsiTheme="majorHAnsi" w:cstheme="majorHAnsi"/>
          <w:b/>
          <w:bCs/>
          <w:color w:val="FB7D34" w:themeColor="accent3" w:themeTint="99"/>
          <w:lang w:eastAsia="fr-FR"/>
        </w:rPr>
      </w:pPr>
      <w:r>
        <w:rPr>
          <w:rFonts w:asciiTheme="majorHAnsi" w:hAnsiTheme="majorHAnsi" w:cstheme="majorHAnsi"/>
          <w:b/>
          <w:bCs/>
          <w:color w:val="FB7D34" w:themeColor="accent3" w:themeTint="99"/>
          <w:lang w:eastAsia="fr-FR"/>
        </w:rPr>
        <w:t xml:space="preserve">Un modèle inédit d’achat public </w:t>
      </w:r>
    </w:p>
    <w:p w14:paraId="2BDEED27" w14:textId="627B5FA3" w:rsidR="00272323" w:rsidRDefault="00A25768" w:rsidP="0050536A">
      <w:pPr>
        <w:spacing w:beforeAutospacing="1" w:after="120"/>
        <w:jc w:val="both"/>
        <w:rPr>
          <w:rFonts w:asciiTheme="majorHAnsi" w:hAnsiTheme="majorHAnsi" w:cstheme="majorHAnsi"/>
          <w:strike/>
          <w:sz w:val="20"/>
          <w:szCs w:val="20"/>
          <w:lang w:eastAsia="fr-FR"/>
        </w:rPr>
      </w:pPr>
      <w:r>
        <w:rPr>
          <w:rFonts w:asciiTheme="majorHAnsi" w:hAnsiTheme="majorHAnsi" w:cstheme="majorHAnsi"/>
          <w:sz w:val="20"/>
          <w:szCs w:val="20"/>
          <w:lang w:eastAsia="fr-FR"/>
        </w:rPr>
        <w:t>Avec l’adoption de la Loi APER (Accélération de la production d’énergies renouvelables) de mars 2023, les CADER permettent désormais à une collectivité d’acheter directement de l’électricité à un producteur d’énergie</w:t>
      </w:r>
      <w:r w:rsidR="008678C0">
        <w:rPr>
          <w:rFonts w:asciiTheme="majorHAnsi" w:hAnsiTheme="majorHAnsi" w:cstheme="majorHAnsi"/>
          <w:sz w:val="20"/>
          <w:szCs w:val="20"/>
          <w:lang w:eastAsia="fr-FR"/>
        </w:rPr>
        <w:t>s</w:t>
      </w:r>
      <w:r>
        <w:rPr>
          <w:rFonts w:asciiTheme="majorHAnsi" w:hAnsiTheme="majorHAnsi" w:cstheme="majorHAnsi"/>
          <w:sz w:val="20"/>
          <w:szCs w:val="20"/>
          <w:lang w:eastAsia="fr-FR"/>
        </w:rPr>
        <w:t xml:space="preserve"> renouvelable</w:t>
      </w:r>
      <w:r w:rsidR="008678C0">
        <w:rPr>
          <w:rFonts w:asciiTheme="majorHAnsi" w:hAnsiTheme="majorHAnsi" w:cstheme="majorHAnsi"/>
          <w:sz w:val="20"/>
          <w:szCs w:val="20"/>
          <w:lang w:eastAsia="fr-FR"/>
        </w:rPr>
        <w:t>s</w:t>
      </w:r>
      <w:r>
        <w:rPr>
          <w:rFonts w:asciiTheme="majorHAnsi" w:hAnsiTheme="majorHAnsi" w:cstheme="majorHAnsi"/>
          <w:sz w:val="20"/>
          <w:szCs w:val="20"/>
          <w:lang w:eastAsia="fr-FR"/>
        </w:rPr>
        <w:t>, en dehors des circuits classiques, et sur une longue durée allant de 15 à 25 ans, alors que le code des marchés publics imposait jusque-là une durée maximale de 4 ans. Ce mécanisme assure à la fois souplesse, sécurité d’approvisionnement et optimisation économique, tout en maintenant la priorité donnée à une énergie verte et durable.</w:t>
      </w:r>
    </w:p>
    <w:p w14:paraId="223CB295" w14:textId="77777777" w:rsidR="00272323" w:rsidRDefault="00A25768" w:rsidP="0050536A">
      <w:pPr>
        <w:spacing w:beforeAutospacing="1" w:after="120"/>
        <w:jc w:val="both"/>
        <w:rPr>
          <w:rFonts w:asciiTheme="majorHAnsi" w:hAnsiTheme="majorHAnsi" w:cstheme="majorHAnsi"/>
          <w:b/>
          <w:bCs/>
          <w:color w:val="FB7D34" w:themeColor="accent3" w:themeTint="99"/>
          <w:lang w:eastAsia="fr-FR"/>
        </w:rPr>
      </w:pPr>
      <w:r>
        <w:rPr>
          <w:rFonts w:asciiTheme="majorHAnsi" w:hAnsiTheme="majorHAnsi" w:cstheme="majorHAnsi"/>
          <w:b/>
          <w:bCs/>
          <w:color w:val="FB7D34" w:themeColor="accent3" w:themeTint="99"/>
          <w:lang w:eastAsia="fr-FR"/>
        </w:rPr>
        <w:t>L’alliance des territoires au service de la transition énergétique</w:t>
      </w:r>
    </w:p>
    <w:p w14:paraId="0D9BC790" w14:textId="77777777" w:rsidR="00272323" w:rsidRDefault="00A25768" w:rsidP="0050536A">
      <w:pPr>
        <w:spacing w:after="120"/>
        <w:jc w:val="both"/>
        <w:rPr>
          <w:rFonts w:asciiTheme="majorHAnsi" w:hAnsiTheme="majorHAnsi" w:cstheme="majorHAnsi"/>
          <w:sz w:val="20"/>
          <w:szCs w:val="20"/>
        </w:rPr>
      </w:pPr>
      <w:r>
        <w:rPr>
          <w:rFonts w:asciiTheme="majorHAnsi" w:hAnsiTheme="majorHAnsi" w:cstheme="majorHAnsi"/>
          <w:sz w:val="20"/>
          <w:szCs w:val="20"/>
        </w:rPr>
        <w:t xml:space="preserve">Nantes Métropole et TE44 portent, en Loire-Atlantique, une ambition similaire en matière d’énergies renouvelables : chacun des 2 partenaires apportant ses atouts et objectifs complémentaires. </w:t>
      </w:r>
    </w:p>
    <w:p w14:paraId="2C439317" w14:textId="77777777" w:rsidR="00272323" w:rsidRDefault="00A25768" w:rsidP="0050536A">
      <w:pPr>
        <w:pStyle w:val="Paragraphedeliste"/>
        <w:numPr>
          <w:ilvl w:val="0"/>
          <w:numId w:val="2"/>
        </w:numPr>
        <w:spacing w:after="120"/>
        <w:jc w:val="both"/>
        <w:rPr>
          <w:rFonts w:asciiTheme="majorHAnsi" w:hAnsiTheme="majorHAnsi" w:cstheme="majorHAnsi"/>
          <w:sz w:val="20"/>
          <w:szCs w:val="20"/>
        </w:rPr>
      </w:pPr>
      <w:r>
        <w:rPr>
          <w:rFonts w:cstheme="majorHAnsi"/>
          <w:sz w:val="20"/>
          <w:szCs w:val="20"/>
        </w:rPr>
        <w:lastRenderedPageBreak/>
        <w:t xml:space="preserve">Nantes Métropole vise la neutralité carbone à l’horizon 2050. Elle a récemment adopté un nouveau Plan Climat Air Energie Territorial (PCAET) pour lutter contre le changement climatique et atteindre ses objectifs. Ce plan comprend 98 actions concrètes avec un objectif intermédiaire à 2030 d’une réduction des </w:t>
      </w:r>
      <w:proofErr w:type="spellStart"/>
      <w:r>
        <w:rPr>
          <w:rFonts w:cstheme="majorHAnsi"/>
          <w:sz w:val="20"/>
          <w:szCs w:val="20"/>
        </w:rPr>
        <w:t>gazs</w:t>
      </w:r>
      <w:proofErr w:type="spellEnd"/>
      <w:r>
        <w:rPr>
          <w:rFonts w:cstheme="majorHAnsi"/>
          <w:sz w:val="20"/>
          <w:szCs w:val="20"/>
        </w:rPr>
        <w:t xml:space="preserve"> à effet de serre de 46%.</w:t>
      </w:r>
    </w:p>
    <w:p w14:paraId="376EA08A" w14:textId="77777777" w:rsidR="00272323" w:rsidRDefault="00A25768" w:rsidP="0050536A">
      <w:pPr>
        <w:pStyle w:val="Paragraphedeliste"/>
        <w:numPr>
          <w:ilvl w:val="0"/>
          <w:numId w:val="2"/>
        </w:numPr>
        <w:suppressAutoHyphens w:val="0"/>
        <w:spacing w:after="120" w:line="276" w:lineRule="auto"/>
        <w:jc w:val="both"/>
        <w:rPr>
          <w:rFonts w:asciiTheme="majorHAnsi" w:hAnsiTheme="majorHAnsi" w:cstheme="majorHAnsi"/>
          <w:sz w:val="20"/>
          <w:szCs w:val="20"/>
        </w:rPr>
      </w:pPr>
      <w:r>
        <w:rPr>
          <w:rFonts w:cstheme="majorHAnsi"/>
          <w:sz w:val="20"/>
          <w:szCs w:val="20"/>
        </w:rPr>
        <w:t>TE44 entend proposer à l’ensemble de ses collectivités adhérentes (180 communes et 14 intercommunalités) auxquels s’ajoutent des établissements de service public (</w:t>
      </w:r>
      <w:proofErr w:type="spellStart"/>
      <w:r>
        <w:rPr>
          <w:rFonts w:cstheme="majorHAnsi"/>
          <w:sz w:val="20"/>
          <w:szCs w:val="20"/>
        </w:rPr>
        <w:t>Ehpad</w:t>
      </w:r>
      <w:proofErr w:type="spellEnd"/>
      <w:r>
        <w:rPr>
          <w:rFonts w:cstheme="majorHAnsi"/>
          <w:sz w:val="20"/>
          <w:szCs w:val="20"/>
        </w:rPr>
        <w:t xml:space="preserve">, établissements scolaires, </w:t>
      </w:r>
      <w:proofErr w:type="spellStart"/>
      <w:r>
        <w:rPr>
          <w:rFonts w:cstheme="majorHAnsi"/>
          <w:sz w:val="20"/>
          <w:szCs w:val="20"/>
        </w:rPr>
        <w:t>etc</w:t>
      </w:r>
      <w:proofErr w:type="spellEnd"/>
      <w:r>
        <w:rPr>
          <w:rFonts w:cstheme="majorHAnsi"/>
          <w:sz w:val="20"/>
          <w:szCs w:val="20"/>
        </w:rPr>
        <w:t xml:space="preserve">), des solutions d’achats d’énergies vertes et une production énergétique locale sur son territoire. </w:t>
      </w:r>
    </w:p>
    <w:p w14:paraId="2A11970A" w14:textId="77777777" w:rsidR="00272323" w:rsidRDefault="00A25768" w:rsidP="0050536A">
      <w:pPr>
        <w:spacing w:after="120"/>
        <w:jc w:val="both"/>
        <w:rPr>
          <w:rFonts w:asciiTheme="majorHAnsi" w:hAnsiTheme="majorHAnsi" w:cstheme="majorHAnsi"/>
          <w:sz w:val="20"/>
          <w:szCs w:val="20"/>
        </w:rPr>
      </w:pPr>
      <w:r>
        <w:rPr>
          <w:rFonts w:asciiTheme="majorHAnsi" w:hAnsiTheme="majorHAnsi" w:cstheme="majorHAnsi"/>
          <w:sz w:val="20"/>
          <w:szCs w:val="20"/>
        </w:rPr>
        <w:t xml:space="preserve">Cette convergence d’ambitions est à l’origine du </w:t>
      </w:r>
      <w:r>
        <w:rPr>
          <w:rFonts w:asciiTheme="majorHAnsi" w:hAnsiTheme="majorHAnsi" w:cstheme="majorHAnsi"/>
          <w:b/>
          <w:bCs/>
          <w:sz w:val="20"/>
          <w:szCs w:val="20"/>
        </w:rPr>
        <w:t>partenariat</w:t>
      </w:r>
      <w:r>
        <w:rPr>
          <w:rFonts w:asciiTheme="majorHAnsi" w:hAnsiTheme="majorHAnsi" w:cstheme="majorHAnsi"/>
          <w:sz w:val="20"/>
          <w:szCs w:val="20"/>
        </w:rPr>
        <w:t xml:space="preserve"> noué entre Nantes Métropole et TE44. Il illustre une véritable alliance des territoires à l’échelle de la Loire-Atlantique, permettant ainsi de mutualiser les forces et les ressources de chacun pour accélérer la transition énergétique. </w:t>
      </w:r>
    </w:p>
    <w:p w14:paraId="7FDC2A5A" w14:textId="77777777" w:rsidR="00272323" w:rsidRDefault="00A25768" w:rsidP="0050536A">
      <w:pPr>
        <w:spacing w:after="120"/>
        <w:jc w:val="both"/>
        <w:rPr>
          <w:rFonts w:asciiTheme="majorHAnsi" w:hAnsiTheme="majorHAnsi" w:cstheme="majorHAnsi"/>
          <w:sz w:val="20"/>
          <w:szCs w:val="20"/>
        </w:rPr>
      </w:pPr>
      <w:r>
        <w:rPr>
          <w:noProof/>
        </w:rPr>
        <w:drawing>
          <wp:anchor distT="0" distB="0" distL="114300" distR="0" simplePos="0" relativeHeight="9" behindDoc="0" locked="0" layoutInCell="0" allowOverlap="1" wp14:anchorId="015C96B0" wp14:editId="580D930F">
            <wp:simplePos x="0" y="0"/>
            <wp:positionH relativeFrom="margin">
              <wp:align>right</wp:align>
            </wp:positionH>
            <wp:positionV relativeFrom="paragraph">
              <wp:posOffset>10160</wp:posOffset>
            </wp:positionV>
            <wp:extent cx="1350010" cy="203898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8"/>
                    <a:srcRect t="-633"/>
                    <a:stretch>
                      <a:fillRect/>
                    </a:stretch>
                  </pic:blipFill>
                  <pic:spPr bwMode="auto">
                    <a:xfrm>
                      <a:off x="0" y="0"/>
                      <a:ext cx="1350010" cy="2038985"/>
                    </a:xfrm>
                    <a:prstGeom prst="rect">
                      <a:avLst/>
                    </a:prstGeom>
                  </pic:spPr>
                </pic:pic>
              </a:graphicData>
            </a:graphic>
          </wp:anchor>
        </w:drawing>
      </w:r>
      <w:r>
        <w:rPr>
          <w:rFonts w:asciiTheme="majorHAnsi" w:hAnsiTheme="majorHAnsi" w:cstheme="majorHAnsi"/>
          <w:sz w:val="20"/>
          <w:szCs w:val="20"/>
        </w:rPr>
        <w:t xml:space="preserve">Depuis l’été 2023, un travail commun a été engagé afin de structurer un </w:t>
      </w:r>
      <w:r>
        <w:rPr>
          <w:rFonts w:asciiTheme="majorHAnsi" w:hAnsiTheme="majorHAnsi" w:cstheme="majorHAnsi"/>
          <w:b/>
          <w:bCs/>
          <w:sz w:val="20"/>
          <w:szCs w:val="20"/>
        </w:rPr>
        <w:t>groupement d’achat public d’électricité renouvelable</w:t>
      </w:r>
      <w:r>
        <w:rPr>
          <w:rFonts w:asciiTheme="majorHAnsi" w:hAnsiTheme="majorHAnsi" w:cstheme="majorHAnsi"/>
          <w:sz w:val="20"/>
          <w:szCs w:val="20"/>
        </w:rPr>
        <w:t xml:space="preserve"> consacré exclusivement au CADER.</w:t>
      </w:r>
    </w:p>
    <w:p w14:paraId="3C51C917" w14:textId="77777777" w:rsidR="00272323" w:rsidRDefault="00A25768" w:rsidP="0050536A">
      <w:pPr>
        <w:spacing w:after="120"/>
        <w:jc w:val="both"/>
        <w:rPr>
          <w:rFonts w:asciiTheme="majorHAnsi" w:hAnsiTheme="majorHAnsi" w:cstheme="majorHAnsi"/>
          <w:sz w:val="20"/>
          <w:szCs w:val="20"/>
        </w:rPr>
      </w:pPr>
      <w:r>
        <w:rPr>
          <w:rFonts w:asciiTheme="majorHAnsi" w:hAnsiTheme="majorHAnsi" w:cstheme="majorHAnsi"/>
          <w:sz w:val="20"/>
          <w:szCs w:val="20"/>
        </w:rPr>
        <w:t xml:space="preserve">Au total, ce groupement d’achat comprend 7 consommateurs publics d’énergie du territoire </w:t>
      </w:r>
    </w:p>
    <w:p w14:paraId="289C3DB7" w14:textId="77777777" w:rsidR="00272323" w:rsidRDefault="00A25768" w:rsidP="0050536A">
      <w:pPr>
        <w:pStyle w:val="Paragraphedeliste"/>
        <w:numPr>
          <w:ilvl w:val="0"/>
          <w:numId w:val="3"/>
        </w:numPr>
        <w:spacing w:after="120"/>
        <w:jc w:val="both"/>
        <w:rPr>
          <w:rFonts w:asciiTheme="majorHAnsi" w:hAnsiTheme="majorHAnsi" w:cstheme="majorHAnsi"/>
          <w:sz w:val="20"/>
          <w:szCs w:val="20"/>
        </w:rPr>
      </w:pPr>
      <w:r>
        <w:rPr>
          <w:rFonts w:cstheme="majorHAnsi"/>
          <w:sz w:val="20"/>
          <w:szCs w:val="20"/>
        </w:rPr>
        <w:t>5 collectivités : TE44, Nantes Métropole, la Ville de Nantes, Saint-Nazaire Agglo, la Communauté de communes Estuaire et Sillon</w:t>
      </w:r>
    </w:p>
    <w:p w14:paraId="0CF85E77" w14:textId="77777777" w:rsidR="00272323" w:rsidRDefault="00A25768" w:rsidP="0050536A">
      <w:pPr>
        <w:pStyle w:val="Paragraphedeliste"/>
        <w:numPr>
          <w:ilvl w:val="0"/>
          <w:numId w:val="3"/>
        </w:numPr>
        <w:spacing w:after="120"/>
        <w:jc w:val="both"/>
        <w:rPr>
          <w:rFonts w:asciiTheme="majorHAnsi" w:hAnsiTheme="majorHAnsi" w:cstheme="majorHAnsi"/>
          <w:sz w:val="20"/>
          <w:szCs w:val="20"/>
        </w:rPr>
      </w:pPr>
      <w:r>
        <w:rPr>
          <w:rFonts w:cstheme="majorHAnsi"/>
          <w:sz w:val="20"/>
          <w:szCs w:val="20"/>
        </w:rPr>
        <w:t>2 Sociétés d’économie mixte (SEM) : la SEMMIN (Marché d’intérêt national Nantes Métropole) et la SEMITAN (réseau de transports publics de Nantes Métropole)</w:t>
      </w:r>
    </w:p>
    <w:p w14:paraId="2F4CAB90" w14:textId="77777777" w:rsidR="00272323" w:rsidRDefault="00A25768" w:rsidP="0050536A">
      <w:pPr>
        <w:spacing w:after="120"/>
        <w:jc w:val="both"/>
        <w:rPr>
          <w:rFonts w:asciiTheme="majorHAnsi" w:hAnsiTheme="majorHAnsi" w:cstheme="majorHAnsi"/>
          <w:sz w:val="20"/>
          <w:szCs w:val="20"/>
          <w:lang w:eastAsia="fr-FR"/>
        </w:rPr>
      </w:pPr>
      <w:r>
        <w:rPr>
          <w:rFonts w:asciiTheme="majorHAnsi" w:hAnsiTheme="majorHAnsi" w:cstheme="majorHAnsi"/>
          <w:sz w:val="20"/>
          <w:szCs w:val="20"/>
          <w:lang w:eastAsia="fr-FR"/>
        </w:rPr>
        <w:t xml:space="preserve">Ce groupement inédit incarne une nouvelle manière de coopérer entre collectivités, en conjuguant efficacité économique, solidarité territoriale et engagement climatique. </w:t>
      </w:r>
    </w:p>
    <w:p w14:paraId="2B5E6CDC" w14:textId="77777777" w:rsidR="00272323" w:rsidRDefault="00A25768" w:rsidP="0050536A">
      <w:pPr>
        <w:spacing w:beforeAutospacing="1" w:after="120"/>
        <w:jc w:val="both"/>
        <w:rPr>
          <w:rFonts w:asciiTheme="majorHAnsi" w:hAnsiTheme="majorHAnsi" w:cstheme="majorHAnsi"/>
          <w:b/>
          <w:bCs/>
          <w:color w:val="FB7D34" w:themeColor="accent3" w:themeTint="99"/>
          <w:lang w:eastAsia="fr-FR"/>
        </w:rPr>
      </w:pPr>
      <w:r>
        <w:rPr>
          <w:rFonts w:asciiTheme="majorHAnsi" w:hAnsiTheme="majorHAnsi" w:cstheme="majorHAnsi"/>
          <w:b/>
          <w:bCs/>
          <w:color w:val="FB7D34" w:themeColor="accent3" w:themeTint="99"/>
          <w:lang w:eastAsia="fr-FR"/>
        </w:rPr>
        <w:t>Une première en France, avec l’attribution à deux projets implantés sur le territoire</w:t>
      </w:r>
    </w:p>
    <w:p w14:paraId="6082FA94" w14:textId="77777777" w:rsidR="00272323" w:rsidRDefault="00A25768" w:rsidP="0050536A">
      <w:pPr>
        <w:spacing w:beforeAutospacing="1" w:after="120"/>
        <w:jc w:val="both"/>
        <w:rPr>
          <w:rFonts w:asciiTheme="majorHAnsi" w:hAnsiTheme="majorHAnsi" w:cstheme="majorHAnsi"/>
          <w:sz w:val="20"/>
          <w:szCs w:val="20"/>
          <w:lang w:eastAsia="fr-FR"/>
        </w:rPr>
      </w:pPr>
      <w:r>
        <w:rPr>
          <w:rFonts w:asciiTheme="majorHAnsi" w:hAnsiTheme="majorHAnsi" w:cstheme="majorHAnsi"/>
          <w:sz w:val="20"/>
          <w:szCs w:val="20"/>
          <w:lang w:eastAsia="fr-FR"/>
        </w:rPr>
        <w:t>Le premier marché CADER à l’échelle d’un groupement d’acheteurs publics a été lancé au printemps 2024. C’est une innovation inédite dans le paysage des achats publics en France. Après plusieurs mois de consultation, deux lots ont été attribués en janvier 2025 par la Commission d’Appel d’Offres de Nantes Métropole :</w:t>
      </w:r>
    </w:p>
    <w:p w14:paraId="1BD3E49F" w14:textId="77777777" w:rsidR="00272323" w:rsidRDefault="00A25768" w:rsidP="0050536A">
      <w:pPr>
        <w:numPr>
          <w:ilvl w:val="0"/>
          <w:numId w:val="4"/>
        </w:numPr>
        <w:suppressAutoHyphens w:val="0"/>
        <w:spacing w:beforeAutospacing="1" w:after="120"/>
        <w:jc w:val="both"/>
        <w:rPr>
          <w:rFonts w:asciiTheme="majorHAnsi" w:hAnsiTheme="majorHAnsi" w:cstheme="majorHAnsi"/>
          <w:sz w:val="20"/>
          <w:szCs w:val="20"/>
          <w:lang w:eastAsia="fr-FR"/>
        </w:rPr>
      </w:pPr>
      <w:r>
        <w:rPr>
          <w:rFonts w:asciiTheme="majorHAnsi" w:hAnsiTheme="majorHAnsi" w:cstheme="majorHAnsi"/>
          <w:sz w:val="20"/>
          <w:szCs w:val="20"/>
          <w:lang w:eastAsia="fr-FR"/>
        </w:rPr>
        <w:t>Lot 1 – Éolien : à VALOREM pour un projet implanté à Rouans (44)</w:t>
      </w:r>
    </w:p>
    <w:p w14:paraId="2AF66DF9" w14:textId="77777777" w:rsidR="00272323" w:rsidRDefault="00A25768" w:rsidP="0050536A">
      <w:pPr>
        <w:numPr>
          <w:ilvl w:val="0"/>
          <w:numId w:val="4"/>
        </w:numPr>
        <w:suppressAutoHyphens w:val="0"/>
        <w:spacing w:after="120"/>
        <w:jc w:val="both"/>
        <w:rPr>
          <w:rFonts w:asciiTheme="majorHAnsi" w:hAnsiTheme="majorHAnsi" w:cstheme="majorHAnsi"/>
          <w:sz w:val="20"/>
          <w:szCs w:val="20"/>
          <w:lang w:eastAsia="fr-FR"/>
        </w:rPr>
      </w:pPr>
      <w:r>
        <w:rPr>
          <w:rFonts w:asciiTheme="majorHAnsi" w:hAnsiTheme="majorHAnsi" w:cstheme="majorHAnsi"/>
          <w:sz w:val="20"/>
          <w:szCs w:val="20"/>
          <w:lang w:eastAsia="fr-FR"/>
        </w:rPr>
        <w:t xml:space="preserve">Lot 2 – Solaire photovoltaïque : à SEM </w:t>
      </w:r>
      <w:proofErr w:type="spellStart"/>
      <w:r>
        <w:rPr>
          <w:rFonts w:asciiTheme="majorHAnsi" w:hAnsiTheme="majorHAnsi" w:cstheme="majorHAnsi"/>
          <w:sz w:val="20"/>
          <w:szCs w:val="20"/>
          <w:lang w:eastAsia="fr-FR"/>
        </w:rPr>
        <w:t>EnR</w:t>
      </w:r>
      <w:proofErr w:type="spellEnd"/>
      <w:r>
        <w:rPr>
          <w:rFonts w:asciiTheme="majorHAnsi" w:hAnsiTheme="majorHAnsi" w:cstheme="majorHAnsi"/>
          <w:sz w:val="20"/>
          <w:szCs w:val="20"/>
          <w:lang w:eastAsia="fr-FR"/>
        </w:rPr>
        <w:t xml:space="preserve"> 44, pour un parc existant situé à Machecoul-Saint-Même (44)</w:t>
      </w:r>
    </w:p>
    <w:p w14:paraId="4AE5A480" w14:textId="77777777" w:rsidR="00272323" w:rsidRDefault="00A25768" w:rsidP="0050536A">
      <w:pPr>
        <w:spacing w:beforeAutospacing="1" w:after="120"/>
        <w:jc w:val="both"/>
        <w:rPr>
          <w:rFonts w:asciiTheme="majorHAnsi" w:hAnsiTheme="majorHAnsi" w:cstheme="majorHAnsi"/>
          <w:sz w:val="20"/>
          <w:szCs w:val="20"/>
          <w:lang w:eastAsia="fr-FR"/>
        </w:rPr>
      </w:pPr>
      <w:r>
        <w:rPr>
          <w:noProof/>
        </w:rPr>
        <w:drawing>
          <wp:anchor distT="0" distB="0" distL="114300" distR="114300" simplePos="0" relativeHeight="12" behindDoc="0" locked="0" layoutInCell="0" allowOverlap="1" wp14:anchorId="1BCF9E57" wp14:editId="06FA202A">
            <wp:simplePos x="0" y="0"/>
            <wp:positionH relativeFrom="column">
              <wp:posOffset>-1270</wp:posOffset>
            </wp:positionH>
            <wp:positionV relativeFrom="paragraph">
              <wp:posOffset>102235</wp:posOffset>
            </wp:positionV>
            <wp:extent cx="2499360" cy="1873885"/>
            <wp:effectExtent l="0" t="0" r="0" b="0"/>
            <wp:wrapSquare wrapText="bothSides"/>
            <wp:docPr id="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6"/>
                    <pic:cNvPicPr>
                      <a:picLocks noChangeAspect="1" noChangeArrowheads="1"/>
                    </pic:cNvPicPr>
                  </pic:nvPicPr>
                  <pic:blipFill>
                    <a:blip r:embed="rId9"/>
                    <a:stretch>
                      <a:fillRect/>
                    </a:stretch>
                  </pic:blipFill>
                  <pic:spPr bwMode="auto">
                    <a:xfrm>
                      <a:off x="0" y="0"/>
                      <a:ext cx="2499360" cy="1873885"/>
                    </a:xfrm>
                    <a:prstGeom prst="rect">
                      <a:avLst/>
                    </a:prstGeom>
                  </pic:spPr>
                </pic:pic>
              </a:graphicData>
            </a:graphic>
          </wp:anchor>
        </w:drawing>
      </w:r>
      <w:r>
        <w:rPr>
          <w:rFonts w:asciiTheme="majorHAnsi" w:hAnsiTheme="majorHAnsi" w:cstheme="majorHAnsi"/>
          <w:sz w:val="20"/>
          <w:szCs w:val="20"/>
          <w:lang w:eastAsia="fr-FR"/>
        </w:rPr>
        <w:t>Les projets ont été sélectionnés à l’issue d’une analyse collégiale menée par les membres du groupement, intégrant des critères économiques, techniques, et environnementaux. Les deux producteurs retenus proposent des projets implantés localement.</w:t>
      </w:r>
    </w:p>
    <w:p w14:paraId="66E4A16F" w14:textId="77777777" w:rsidR="00272323" w:rsidRDefault="00A25768" w:rsidP="0050536A">
      <w:pPr>
        <w:spacing w:beforeAutospacing="1" w:after="120"/>
        <w:jc w:val="both"/>
        <w:rPr>
          <w:rFonts w:asciiTheme="majorHAnsi" w:hAnsiTheme="majorHAnsi" w:cstheme="majorHAnsi"/>
          <w:sz w:val="20"/>
          <w:szCs w:val="20"/>
          <w:lang w:eastAsia="fr-FR"/>
        </w:rPr>
      </w:pPr>
      <w:r>
        <w:rPr>
          <w:rFonts w:asciiTheme="majorHAnsi" w:hAnsiTheme="majorHAnsi" w:cstheme="majorHAnsi"/>
          <w:b/>
          <w:bCs/>
          <w:sz w:val="20"/>
          <w:szCs w:val="20"/>
          <w:lang w:eastAsia="fr-FR"/>
        </w:rPr>
        <w:t>Le déploiement des CADER</w:t>
      </w:r>
      <w:r>
        <w:rPr>
          <w:rFonts w:asciiTheme="majorHAnsi" w:hAnsiTheme="majorHAnsi" w:cstheme="majorHAnsi"/>
          <w:sz w:val="20"/>
          <w:szCs w:val="20"/>
          <w:lang w:eastAsia="fr-FR"/>
        </w:rPr>
        <w:t xml:space="preserve"> marque une avancée concrète dans la manière dont les collectivités peuvent aujourd’hui acheter de l’énergie autrement. C’est une réponse directe aux enjeux climatiques, une façon de sécuriser une partie de l’approvisionnement à long terme, et un levier fort pour soutenir les filières locales des énergies renouvelables.</w:t>
      </w:r>
    </w:p>
    <w:p w14:paraId="6C11FE7B" w14:textId="77777777" w:rsidR="00272323" w:rsidRDefault="00A25768" w:rsidP="0050536A">
      <w:pPr>
        <w:spacing w:after="120"/>
        <w:ind w:left="720"/>
        <w:jc w:val="both"/>
        <w:rPr>
          <w:rFonts w:asciiTheme="majorHAnsi" w:hAnsiTheme="majorHAnsi" w:cstheme="majorHAnsi"/>
          <w:i/>
          <w:iCs/>
          <w:sz w:val="20"/>
          <w:szCs w:val="20"/>
        </w:rPr>
      </w:pPr>
      <w:r>
        <w:rPr>
          <w:rFonts w:asciiTheme="majorHAnsi" w:hAnsiTheme="majorHAnsi" w:cstheme="majorHAnsi"/>
          <w:i/>
          <w:iCs/>
          <w:sz w:val="20"/>
          <w:szCs w:val="20"/>
        </w:rPr>
        <w:t xml:space="preserve">« Associer les collectivités locales à nos projets </w:t>
      </w:r>
      <w:proofErr w:type="spellStart"/>
      <w:r>
        <w:rPr>
          <w:rFonts w:asciiTheme="majorHAnsi" w:hAnsiTheme="majorHAnsi" w:cstheme="majorHAnsi"/>
          <w:i/>
          <w:iCs/>
          <w:sz w:val="20"/>
          <w:szCs w:val="20"/>
        </w:rPr>
        <w:t>EnR</w:t>
      </w:r>
      <w:proofErr w:type="spellEnd"/>
      <w:r>
        <w:rPr>
          <w:rFonts w:asciiTheme="majorHAnsi" w:hAnsiTheme="majorHAnsi" w:cstheme="majorHAnsi"/>
          <w:i/>
          <w:iCs/>
          <w:sz w:val="20"/>
          <w:szCs w:val="20"/>
        </w:rPr>
        <w:t xml:space="preserve">, en leur permettant de consommer directement une partie de la production, est une démarche structurante : elle renforce leur rôle d’acteurs à part entière de la transition énergétique. En tant qu’entreprise à mission, VALOREM fait de l’implication des territoires un pilier de son modèle :  la signature de ce premier CADER illustre notre volonté constante d’innover à leurs côtés. Dans un contexte réglementaire et économique en constante évolution, ce contrat a aussi constitué un levier </w:t>
      </w:r>
      <w:r>
        <w:rPr>
          <w:rFonts w:asciiTheme="majorHAnsi" w:hAnsiTheme="majorHAnsi" w:cstheme="majorHAnsi"/>
          <w:i/>
          <w:iCs/>
          <w:sz w:val="20"/>
          <w:szCs w:val="20"/>
        </w:rPr>
        <w:lastRenderedPageBreak/>
        <w:t xml:space="preserve">économique important pour le financement du parc éolien de Rouans, en complément du contrat à prix garanti par l’État. Nous tenons à saluer la confiance des élus de Nantes Métropole, de Territoire d’énergie Loire-Atlantique ainsi que de Rouans ». </w:t>
      </w:r>
      <w:r>
        <w:rPr>
          <w:rFonts w:asciiTheme="majorHAnsi" w:hAnsiTheme="majorHAnsi" w:cstheme="majorHAnsi"/>
          <w:b/>
          <w:bCs/>
          <w:sz w:val="20"/>
          <w:szCs w:val="20"/>
        </w:rPr>
        <w:t>Bertrand Guidez, directeur général adjoint de VALOREM</w:t>
      </w:r>
    </w:p>
    <w:p w14:paraId="095CA8C0" w14:textId="77777777" w:rsidR="00272323" w:rsidRDefault="00272323" w:rsidP="0050536A">
      <w:pPr>
        <w:spacing w:beforeAutospacing="1" w:after="120"/>
        <w:jc w:val="both"/>
        <w:rPr>
          <w:rFonts w:asciiTheme="majorHAnsi" w:hAnsiTheme="majorHAnsi" w:cstheme="majorHAnsi"/>
          <w:sz w:val="20"/>
          <w:szCs w:val="20"/>
          <w:lang w:eastAsia="fr-FR"/>
        </w:rPr>
      </w:pPr>
    </w:p>
    <w:p w14:paraId="42C28F2A" w14:textId="77777777" w:rsidR="00272323" w:rsidRDefault="00A25768" w:rsidP="0050536A">
      <w:pPr>
        <w:pStyle w:val="Paragraphedeliste"/>
        <w:suppressAutoHyphens w:val="0"/>
        <w:spacing w:after="120" w:line="240" w:lineRule="auto"/>
        <w:contextualSpacing w:val="0"/>
        <w:rPr>
          <w:rFonts w:eastAsia="Times New Roman"/>
          <w:b/>
          <w:bCs/>
          <w:sz w:val="20"/>
          <w:szCs w:val="20"/>
        </w:rPr>
      </w:pPr>
      <w:r>
        <w:rPr>
          <w:rFonts w:eastAsia="Times New Roman"/>
          <w:i/>
          <w:iCs/>
          <w:sz w:val="20"/>
          <w:szCs w:val="20"/>
        </w:rPr>
        <w:t xml:space="preserve">« Avoir été retenu à ce 1er CADER est un grand motif de satisfaction. Cela correspond à la philosophie de notre SEM qui promeut le circuit court énergétique. Au-delà, c'est aussi une voie à suivre… ». </w:t>
      </w:r>
      <w:r>
        <w:rPr>
          <w:rFonts w:eastAsia="Times New Roman"/>
          <w:b/>
          <w:bCs/>
          <w:sz w:val="20"/>
          <w:szCs w:val="20"/>
        </w:rPr>
        <w:t>Raymond Charbonnier, Président EnR44 </w:t>
      </w:r>
    </w:p>
    <w:p w14:paraId="3CFB07B0" w14:textId="77777777" w:rsidR="00272323" w:rsidRDefault="00272323" w:rsidP="0050536A">
      <w:pPr>
        <w:pStyle w:val="Titre3"/>
        <w:numPr>
          <w:ilvl w:val="0"/>
          <w:numId w:val="0"/>
        </w:numPr>
        <w:jc w:val="both"/>
        <w:rPr>
          <w:rFonts w:asciiTheme="majorHAnsi" w:hAnsiTheme="majorHAnsi" w:cstheme="majorHAnsi"/>
          <w:b w:val="0"/>
          <w:bCs w:val="0"/>
          <w:color w:val="FB7D34" w:themeColor="accent3" w:themeTint="99"/>
          <w:sz w:val="24"/>
          <w:szCs w:val="24"/>
        </w:rPr>
      </w:pPr>
    </w:p>
    <w:p w14:paraId="0562C515" w14:textId="77777777" w:rsidR="00272323" w:rsidRDefault="00A25768" w:rsidP="0050536A">
      <w:pPr>
        <w:pStyle w:val="Titre3"/>
        <w:jc w:val="both"/>
        <w:rPr>
          <w:rFonts w:asciiTheme="majorHAnsi" w:hAnsiTheme="majorHAnsi" w:cstheme="majorHAnsi"/>
          <w:b w:val="0"/>
          <w:bCs w:val="0"/>
          <w:color w:val="FB7D34" w:themeColor="accent3" w:themeTint="99"/>
          <w:sz w:val="24"/>
          <w:szCs w:val="24"/>
        </w:rPr>
      </w:pPr>
      <w:r>
        <w:rPr>
          <w:rFonts w:asciiTheme="majorHAnsi" w:hAnsiTheme="majorHAnsi" w:cstheme="majorHAnsi"/>
          <w:color w:val="FB7D34" w:themeColor="accent3" w:themeTint="99"/>
          <w:sz w:val="24"/>
          <w:szCs w:val="24"/>
        </w:rPr>
        <w:t xml:space="preserve">25 % des besoins du groupement couverts par des </w:t>
      </w:r>
      <w:proofErr w:type="spellStart"/>
      <w:r>
        <w:rPr>
          <w:rFonts w:asciiTheme="majorHAnsi" w:hAnsiTheme="majorHAnsi" w:cstheme="majorHAnsi"/>
          <w:color w:val="FB7D34" w:themeColor="accent3" w:themeTint="99"/>
          <w:sz w:val="24"/>
          <w:szCs w:val="24"/>
        </w:rPr>
        <w:t>EnR</w:t>
      </w:r>
      <w:proofErr w:type="spellEnd"/>
      <w:r>
        <w:rPr>
          <w:rFonts w:asciiTheme="majorHAnsi" w:hAnsiTheme="majorHAnsi" w:cstheme="majorHAnsi"/>
          <w:color w:val="FB7D34" w:themeColor="accent3" w:themeTint="99"/>
          <w:sz w:val="24"/>
          <w:szCs w:val="24"/>
        </w:rPr>
        <w:t xml:space="preserve"> locales</w:t>
      </w:r>
    </w:p>
    <w:p w14:paraId="392F5773" w14:textId="77777777" w:rsidR="00272323" w:rsidRDefault="00A25768" w:rsidP="0050536A">
      <w:pPr>
        <w:spacing w:beforeAutospacing="1" w:after="120"/>
        <w:jc w:val="both"/>
        <w:rPr>
          <w:rFonts w:asciiTheme="majorHAnsi" w:hAnsiTheme="majorHAnsi" w:cstheme="majorHAnsi"/>
          <w:b/>
          <w:bCs/>
          <w:sz w:val="20"/>
          <w:szCs w:val="20"/>
        </w:rPr>
      </w:pPr>
      <w:r>
        <w:rPr>
          <w:rFonts w:asciiTheme="majorHAnsi" w:hAnsiTheme="majorHAnsi" w:cstheme="majorHAnsi"/>
          <w:sz w:val="20"/>
          <w:szCs w:val="20"/>
        </w:rPr>
        <w:t xml:space="preserve">Totalisant près de 200 sites publics, les besoins en énergie des </w:t>
      </w:r>
      <w:r>
        <w:rPr>
          <w:rStyle w:val="lev"/>
          <w:rFonts w:asciiTheme="majorHAnsi" w:hAnsiTheme="majorHAnsi" w:cstheme="majorHAnsi"/>
          <w:sz w:val="20"/>
          <w:szCs w:val="20"/>
        </w:rPr>
        <w:t>7 membres du groupement</w:t>
      </w:r>
      <w:r>
        <w:rPr>
          <w:rFonts w:asciiTheme="majorHAnsi" w:hAnsiTheme="majorHAnsi" w:cstheme="majorHAnsi"/>
          <w:sz w:val="20"/>
          <w:szCs w:val="20"/>
        </w:rPr>
        <w:t xml:space="preserve">, représentent une consommation annuelle totale de </w:t>
      </w:r>
      <w:r>
        <w:rPr>
          <w:rStyle w:val="lev"/>
          <w:rFonts w:asciiTheme="majorHAnsi" w:hAnsiTheme="majorHAnsi" w:cstheme="majorHAnsi"/>
          <w:sz w:val="20"/>
          <w:szCs w:val="20"/>
        </w:rPr>
        <w:t xml:space="preserve">53 </w:t>
      </w:r>
      <w:proofErr w:type="gramStart"/>
      <w:r>
        <w:rPr>
          <w:rStyle w:val="lev"/>
          <w:rFonts w:asciiTheme="majorHAnsi" w:hAnsiTheme="majorHAnsi" w:cstheme="majorHAnsi"/>
          <w:sz w:val="20"/>
          <w:szCs w:val="20"/>
        </w:rPr>
        <w:t>GWh</w:t>
      </w:r>
      <w:proofErr w:type="gramEnd"/>
      <w:r>
        <w:rPr>
          <w:rFonts w:asciiTheme="majorHAnsi" w:hAnsiTheme="majorHAnsi" w:cstheme="majorHAnsi"/>
          <w:b/>
          <w:bCs/>
          <w:sz w:val="20"/>
          <w:szCs w:val="20"/>
        </w:rPr>
        <w:t xml:space="preserve">. </w:t>
      </w:r>
    </w:p>
    <w:p w14:paraId="683A9FAE" w14:textId="718BA834" w:rsidR="00272323" w:rsidRDefault="00A25768" w:rsidP="0050536A">
      <w:pPr>
        <w:spacing w:after="120"/>
        <w:jc w:val="both"/>
        <w:rPr>
          <w:rStyle w:val="lev"/>
          <w:rFonts w:asciiTheme="majorHAnsi" w:hAnsiTheme="majorHAnsi" w:cstheme="majorHAnsi"/>
          <w:b w:val="0"/>
          <w:bCs w:val="0"/>
          <w:sz w:val="20"/>
          <w:szCs w:val="20"/>
        </w:rPr>
      </w:pPr>
      <w:r>
        <w:rPr>
          <w:rStyle w:val="lev"/>
          <w:rFonts w:asciiTheme="majorHAnsi" w:hAnsiTheme="majorHAnsi" w:cstheme="majorHAnsi"/>
          <w:sz w:val="20"/>
          <w:szCs w:val="20"/>
        </w:rPr>
        <w:t>A noter que la production d’énergie</w:t>
      </w:r>
      <w:r w:rsidR="008678C0">
        <w:rPr>
          <w:rStyle w:val="lev"/>
          <w:rFonts w:asciiTheme="majorHAnsi" w:hAnsiTheme="majorHAnsi" w:cstheme="majorHAnsi"/>
          <w:sz w:val="20"/>
          <w:szCs w:val="20"/>
        </w:rPr>
        <w:t>s</w:t>
      </w:r>
      <w:r>
        <w:rPr>
          <w:rStyle w:val="lev"/>
          <w:rFonts w:asciiTheme="majorHAnsi" w:hAnsiTheme="majorHAnsi" w:cstheme="majorHAnsi"/>
          <w:sz w:val="20"/>
          <w:szCs w:val="20"/>
        </w:rPr>
        <w:t xml:space="preserve"> renouvelable</w:t>
      </w:r>
      <w:r w:rsidR="008678C0">
        <w:rPr>
          <w:rStyle w:val="lev"/>
          <w:rFonts w:asciiTheme="majorHAnsi" w:hAnsiTheme="majorHAnsi" w:cstheme="majorHAnsi"/>
          <w:sz w:val="20"/>
          <w:szCs w:val="20"/>
        </w:rPr>
        <w:t>s</w:t>
      </w:r>
      <w:r>
        <w:rPr>
          <w:rStyle w:val="lev"/>
          <w:rFonts w:asciiTheme="majorHAnsi" w:hAnsiTheme="majorHAnsi" w:cstheme="majorHAnsi"/>
          <w:sz w:val="20"/>
          <w:szCs w:val="20"/>
        </w:rPr>
        <w:t xml:space="preserve"> (éolienne et solaire) des sites retenus par le CADER reste inférieure aux besoins de consommation. Ce choix permet d’éviter 2 écueils :</w:t>
      </w:r>
    </w:p>
    <w:p w14:paraId="2C0CCC4D" w14:textId="77777777" w:rsidR="00272323" w:rsidRDefault="00A25768" w:rsidP="0050536A">
      <w:pPr>
        <w:pStyle w:val="Paragraphedeliste"/>
        <w:numPr>
          <w:ilvl w:val="0"/>
          <w:numId w:val="8"/>
        </w:numPr>
        <w:suppressAutoHyphens w:val="0"/>
        <w:spacing w:after="120" w:line="276" w:lineRule="auto"/>
        <w:jc w:val="both"/>
        <w:rPr>
          <w:rStyle w:val="lev"/>
          <w:rFonts w:asciiTheme="majorHAnsi" w:hAnsiTheme="majorHAnsi" w:cstheme="majorHAnsi"/>
          <w:b w:val="0"/>
          <w:bCs w:val="0"/>
          <w:sz w:val="20"/>
          <w:szCs w:val="20"/>
        </w:rPr>
      </w:pPr>
      <w:r>
        <w:rPr>
          <w:rStyle w:val="lev"/>
          <w:rFonts w:cstheme="majorHAnsi"/>
          <w:sz w:val="20"/>
          <w:szCs w:val="20"/>
        </w:rPr>
        <w:t xml:space="preserve">La gestion de surplus d’électricité issue des producteurs CADER </w:t>
      </w:r>
    </w:p>
    <w:p w14:paraId="020663A5" w14:textId="77777777" w:rsidR="00272323" w:rsidRDefault="00A25768" w:rsidP="0050536A">
      <w:pPr>
        <w:pStyle w:val="Paragraphedeliste"/>
        <w:numPr>
          <w:ilvl w:val="0"/>
          <w:numId w:val="5"/>
        </w:numPr>
        <w:suppressAutoHyphens w:val="0"/>
        <w:spacing w:after="120" w:line="276" w:lineRule="auto"/>
        <w:jc w:val="both"/>
        <w:rPr>
          <w:rFonts w:asciiTheme="majorHAnsi" w:hAnsiTheme="majorHAnsi" w:cstheme="majorHAnsi"/>
          <w:sz w:val="20"/>
          <w:szCs w:val="20"/>
        </w:rPr>
      </w:pPr>
      <w:r>
        <w:rPr>
          <w:rStyle w:val="lev"/>
          <w:rFonts w:cstheme="majorHAnsi"/>
          <w:sz w:val="20"/>
          <w:szCs w:val="20"/>
        </w:rPr>
        <w:t>La revente à bas prix de ces surplus sur le marché, en période de forte production</w:t>
      </w:r>
      <w:r>
        <w:rPr>
          <w:rFonts w:cstheme="majorHAnsi"/>
          <w:sz w:val="20"/>
          <w:szCs w:val="20"/>
        </w:rPr>
        <w:t>.</w:t>
      </w:r>
    </w:p>
    <w:p w14:paraId="4A2950DC" w14:textId="77777777" w:rsidR="00272323" w:rsidRDefault="00A25768" w:rsidP="0050536A">
      <w:pPr>
        <w:spacing w:beforeAutospacing="1" w:after="120"/>
        <w:jc w:val="both"/>
        <w:rPr>
          <w:rFonts w:asciiTheme="majorHAnsi" w:hAnsiTheme="majorHAnsi" w:cstheme="majorHAnsi"/>
          <w:sz w:val="20"/>
          <w:szCs w:val="20"/>
        </w:rPr>
      </w:pPr>
      <w:r>
        <w:rPr>
          <w:rFonts w:asciiTheme="majorHAnsi" w:hAnsiTheme="majorHAnsi" w:cstheme="majorHAnsi"/>
          <w:sz w:val="20"/>
          <w:szCs w:val="20"/>
        </w:rPr>
        <w:t xml:space="preserve">Au total, les </w:t>
      </w:r>
      <w:r>
        <w:rPr>
          <w:rStyle w:val="lev"/>
          <w:rFonts w:asciiTheme="majorHAnsi" w:hAnsiTheme="majorHAnsi" w:cstheme="majorHAnsi"/>
          <w:sz w:val="20"/>
          <w:szCs w:val="20"/>
        </w:rPr>
        <w:t>contrats CADER permettront de couvrir environ 25 % des besoins en électricité</w:t>
      </w:r>
      <w:r>
        <w:rPr>
          <w:rFonts w:asciiTheme="majorHAnsi" w:hAnsiTheme="majorHAnsi" w:cstheme="majorHAnsi"/>
          <w:b/>
          <w:bCs/>
          <w:sz w:val="20"/>
          <w:szCs w:val="20"/>
        </w:rPr>
        <w:t xml:space="preserve"> </w:t>
      </w:r>
      <w:r>
        <w:rPr>
          <w:rFonts w:asciiTheme="majorHAnsi" w:hAnsiTheme="majorHAnsi" w:cstheme="majorHAnsi"/>
          <w:sz w:val="20"/>
          <w:szCs w:val="20"/>
        </w:rPr>
        <w:t xml:space="preserve">du groupement. La production sera assurée : </w:t>
      </w:r>
    </w:p>
    <w:p w14:paraId="2E0FF04D" w14:textId="77777777" w:rsidR="00272323" w:rsidRDefault="00A25768" w:rsidP="0050536A">
      <w:pPr>
        <w:pStyle w:val="Paragraphedeliste"/>
        <w:numPr>
          <w:ilvl w:val="0"/>
          <w:numId w:val="6"/>
        </w:numPr>
        <w:suppressAutoHyphens w:val="0"/>
        <w:spacing w:beforeAutospacing="1" w:after="120" w:line="276" w:lineRule="auto"/>
        <w:jc w:val="both"/>
        <w:rPr>
          <w:rFonts w:asciiTheme="majorHAnsi" w:hAnsiTheme="majorHAnsi" w:cstheme="majorHAnsi"/>
          <w:sz w:val="20"/>
          <w:szCs w:val="20"/>
        </w:rPr>
      </w:pPr>
      <w:proofErr w:type="gramStart"/>
      <w:r>
        <w:rPr>
          <w:rFonts w:cstheme="majorHAnsi"/>
          <w:sz w:val="20"/>
          <w:szCs w:val="20"/>
        </w:rPr>
        <w:t>à</w:t>
      </w:r>
      <w:proofErr w:type="gramEnd"/>
      <w:r>
        <w:rPr>
          <w:rFonts w:cstheme="majorHAnsi"/>
          <w:sz w:val="20"/>
          <w:szCs w:val="20"/>
        </w:rPr>
        <w:t xml:space="preserve"> </w:t>
      </w:r>
      <w:r>
        <w:rPr>
          <w:rStyle w:val="lev"/>
          <w:rFonts w:cstheme="majorHAnsi"/>
          <w:sz w:val="20"/>
          <w:szCs w:val="20"/>
        </w:rPr>
        <w:t>1/3 par du photovoltaïque : produite en journée, l’électricité PV est idéale pour des consommations diurnes</w:t>
      </w:r>
      <w:r>
        <w:rPr>
          <w:rFonts w:cstheme="majorHAnsi"/>
          <w:b/>
          <w:bCs/>
          <w:sz w:val="20"/>
          <w:szCs w:val="20"/>
        </w:rPr>
        <w:t>.</w:t>
      </w:r>
    </w:p>
    <w:p w14:paraId="3482856D" w14:textId="77777777" w:rsidR="00272323" w:rsidRDefault="00A25768" w:rsidP="0050536A">
      <w:pPr>
        <w:pStyle w:val="Paragraphedeliste"/>
        <w:numPr>
          <w:ilvl w:val="0"/>
          <w:numId w:val="6"/>
        </w:numPr>
        <w:suppressAutoHyphens w:val="0"/>
        <w:spacing w:after="120" w:line="276" w:lineRule="auto"/>
        <w:jc w:val="both"/>
        <w:rPr>
          <w:rFonts w:asciiTheme="majorHAnsi" w:hAnsiTheme="majorHAnsi" w:cstheme="majorHAnsi"/>
          <w:sz w:val="20"/>
          <w:szCs w:val="20"/>
        </w:rPr>
      </w:pPr>
      <w:proofErr w:type="gramStart"/>
      <w:r>
        <w:rPr>
          <w:rFonts w:cstheme="majorHAnsi"/>
          <w:sz w:val="20"/>
          <w:szCs w:val="20"/>
        </w:rPr>
        <w:t>à</w:t>
      </w:r>
      <w:proofErr w:type="gramEnd"/>
      <w:r>
        <w:rPr>
          <w:rFonts w:cstheme="majorHAnsi"/>
          <w:sz w:val="20"/>
          <w:szCs w:val="20"/>
        </w:rPr>
        <w:t xml:space="preserve"> </w:t>
      </w:r>
      <w:r>
        <w:rPr>
          <w:rStyle w:val="lev"/>
          <w:rFonts w:cstheme="majorHAnsi"/>
          <w:sz w:val="20"/>
          <w:szCs w:val="20"/>
        </w:rPr>
        <w:t>2/3 tiers par de l’éolien</w:t>
      </w:r>
      <w:r>
        <w:rPr>
          <w:rFonts w:cstheme="majorHAnsi"/>
          <w:sz w:val="20"/>
          <w:szCs w:val="20"/>
        </w:rPr>
        <w:t> : complémentaire de l’électricité photovoltaïque, l’électricité éolienne peut être disponible à tout moment de la journée</w:t>
      </w:r>
    </w:p>
    <w:p w14:paraId="0E457D11" w14:textId="77777777" w:rsidR="00272323" w:rsidRDefault="00A25768" w:rsidP="0050536A">
      <w:pPr>
        <w:spacing w:beforeAutospacing="1" w:after="120"/>
        <w:jc w:val="both"/>
        <w:rPr>
          <w:rFonts w:asciiTheme="majorHAnsi" w:hAnsiTheme="majorHAnsi" w:cstheme="majorHAnsi"/>
          <w:sz w:val="20"/>
          <w:szCs w:val="20"/>
        </w:rPr>
      </w:pPr>
      <w:r>
        <w:rPr>
          <w:rFonts w:asciiTheme="majorHAnsi" w:hAnsiTheme="majorHAnsi" w:cstheme="majorHAnsi"/>
          <w:sz w:val="20"/>
          <w:szCs w:val="20"/>
        </w:rPr>
        <w:t xml:space="preserve">Le choix de ce mix énergétique a été défini en tenant compte du fait que certains sites consommateurs présenteront également des installations photovoltaïques en autoconsommation et donc proposeront un profil énergétique moins intéressant pour le CADER photovoltaïque. </w:t>
      </w:r>
    </w:p>
    <w:p w14:paraId="1ADBC02E" w14:textId="77777777" w:rsidR="00272323" w:rsidRDefault="00A25768" w:rsidP="0050536A">
      <w:pPr>
        <w:spacing w:beforeAutospacing="1" w:after="120"/>
        <w:jc w:val="both"/>
        <w:rPr>
          <w:rFonts w:asciiTheme="majorHAnsi" w:hAnsiTheme="majorHAnsi" w:cstheme="majorHAnsi"/>
          <w:sz w:val="20"/>
          <w:szCs w:val="20"/>
        </w:rPr>
      </w:pPr>
      <w:r>
        <w:rPr>
          <w:rFonts w:asciiTheme="majorHAnsi" w:hAnsiTheme="majorHAnsi" w:cstheme="majorHAnsi"/>
          <w:sz w:val="20"/>
          <w:szCs w:val="20"/>
        </w:rPr>
        <w:t xml:space="preserve">Par conséquent : </w:t>
      </w:r>
    </w:p>
    <w:p w14:paraId="7B6877BA" w14:textId="77777777" w:rsidR="00272323" w:rsidRDefault="00A25768" w:rsidP="0050536A">
      <w:pPr>
        <w:pStyle w:val="Paragraphedeliste"/>
        <w:numPr>
          <w:ilvl w:val="0"/>
          <w:numId w:val="7"/>
        </w:numPr>
        <w:suppressAutoHyphens w:val="0"/>
        <w:spacing w:beforeAutospacing="1" w:after="120" w:line="276" w:lineRule="auto"/>
        <w:jc w:val="both"/>
        <w:rPr>
          <w:rFonts w:asciiTheme="majorHAnsi" w:hAnsiTheme="majorHAnsi" w:cstheme="majorHAnsi"/>
          <w:sz w:val="20"/>
          <w:szCs w:val="20"/>
        </w:rPr>
      </w:pPr>
      <w:r>
        <w:rPr>
          <w:rStyle w:val="lev"/>
          <w:rFonts w:cstheme="majorHAnsi"/>
          <w:sz w:val="20"/>
          <w:szCs w:val="20"/>
        </w:rPr>
        <w:t xml:space="preserve">Les sites de la Ville de Nantes </w:t>
      </w:r>
      <w:r>
        <w:rPr>
          <w:rFonts w:cstheme="majorHAnsi"/>
          <w:sz w:val="20"/>
          <w:szCs w:val="20"/>
        </w:rPr>
        <w:t xml:space="preserve">qui accueillent déjà des centrales photovoltaïques, comme les </w:t>
      </w:r>
      <w:r>
        <w:rPr>
          <w:rFonts w:cstheme="majorHAnsi"/>
          <w:b/>
          <w:bCs/>
          <w:sz w:val="20"/>
          <w:szCs w:val="20"/>
        </w:rPr>
        <w:t>groupes scolaires</w:t>
      </w:r>
      <w:r>
        <w:rPr>
          <w:rFonts w:cstheme="majorHAnsi"/>
          <w:sz w:val="20"/>
          <w:szCs w:val="20"/>
        </w:rPr>
        <w:t xml:space="preserve">, </w:t>
      </w:r>
      <w:r>
        <w:rPr>
          <w:rStyle w:val="lev"/>
          <w:rFonts w:cstheme="majorHAnsi"/>
          <w:sz w:val="20"/>
          <w:szCs w:val="20"/>
        </w:rPr>
        <w:t xml:space="preserve">ne seront pas alimentés par les productions issues des CADER afin de </w:t>
      </w:r>
      <w:r>
        <w:rPr>
          <w:rFonts w:cstheme="majorHAnsi"/>
          <w:sz w:val="20"/>
          <w:szCs w:val="20"/>
        </w:rPr>
        <w:t>garantir la cohérence du dispositif avec les projets d’autoproduction déjà en cours. En revanche, des sites liés à la production d’eau potable, à la culture (dont le Musée d’Arts), … seront alimentés par le CADER.</w:t>
      </w:r>
    </w:p>
    <w:p w14:paraId="71C624A9" w14:textId="77777777" w:rsidR="00272323" w:rsidRDefault="00A25768" w:rsidP="0050536A">
      <w:pPr>
        <w:pStyle w:val="Paragraphedeliste"/>
        <w:numPr>
          <w:ilvl w:val="0"/>
          <w:numId w:val="7"/>
        </w:numPr>
        <w:suppressAutoHyphens w:val="0"/>
        <w:spacing w:after="120" w:line="276" w:lineRule="auto"/>
        <w:jc w:val="both"/>
        <w:rPr>
          <w:rFonts w:asciiTheme="majorHAnsi" w:hAnsiTheme="majorHAnsi" w:cstheme="majorHAnsi"/>
          <w:sz w:val="20"/>
          <w:szCs w:val="20"/>
        </w:rPr>
      </w:pPr>
      <w:r>
        <w:rPr>
          <w:rFonts w:cstheme="majorHAnsi"/>
          <w:sz w:val="20"/>
          <w:szCs w:val="20"/>
        </w:rPr>
        <w:t xml:space="preserve">À l’inverse, </w:t>
      </w:r>
      <w:r>
        <w:rPr>
          <w:rFonts w:cstheme="majorHAnsi"/>
          <w:b/>
          <w:bCs/>
          <w:sz w:val="20"/>
          <w:szCs w:val="20"/>
        </w:rPr>
        <w:t>TE44 intègrera ses Infrastructures de Recharge pour Véhicules Électriques</w:t>
      </w:r>
      <w:r>
        <w:rPr>
          <w:rFonts w:cstheme="majorHAnsi"/>
          <w:sz w:val="20"/>
          <w:szCs w:val="20"/>
        </w:rPr>
        <w:t xml:space="preserve"> (IRVE) dont la consommation est corrélée en journée à la production de la centrale photovoltaïque.</w:t>
      </w:r>
    </w:p>
    <w:p w14:paraId="59795E9B" w14:textId="77777777" w:rsidR="00272323" w:rsidRDefault="00A25768" w:rsidP="0050536A">
      <w:pPr>
        <w:spacing w:beforeAutospacing="1" w:after="120"/>
        <w:jc w:val="both"/>
        <w:outlineLvl w:val="2"/>
        <w:rPr>
          <w:rFonts w:asciiTheme="majorHAnsi" w:hAnsiTheme="majorHAnsi" w:cstheme="majorHAnsi"/>
          <w:b/>
          <w:bCs/>
          <w:color w:val="FB7D34" w:themeColor="accent3" w:themeTint="99"/>
          <w:lang w:eastAsia="fr-FR"/>
        </w:rPr>
      </w:pPr>
      <w:r>
        <w:rPr>
          <w:rFonts w:asciiTheme="majorHAnsi" w:hAnsiTheme="majorHAnsi" w:cstheme="majorHAnsi"/>
          <w:b/>
          <w:bCs/>
          <w:color w:val="FB7D34" w:themeColor="accent3" w:themeTint="99"/>
          <w:lang w:eastAsia="fr-FR"/>
        </w:rPr>
        <w:t>Un modèle reproductible à l’échelle nationale</w:t>
      </w:r>
    </w:p>
    <w:p w14:paraId="202F39DA" w14:textId="2077DC97" w:rsidR="00272323" w:rsidRDefault="00A25768" w:rsidP="0050536A">
      <w:pPr>
        <w:spacing w:beforeAutospacing="1" w:after="120"/>
        <w:jc w:val="both"/>
        <w:rPr>
          <w:rFonts w:asciiTheme="majorHAnsi" w:hAnsiTheme="majorHAnsi" w:cstheme="majorHAnsi"/>
          <w:sz w:val="20"/>
          <w:szCs w:val="20"/>
          <w:lang w:eastAsia="fr-FR"/>
        </w:rPr>
      </w:pPr>
      <w:r>
        <w:rPr>
          <w:rFonts w:asciiTheme="majorHAnsi" w:hAnsiTheme="majorHAnsi" w:cstheme="majorHAnsi"/>
          <w:sz w:val="20"/>
          <w:szCs w:val="20"/>
          <w:lang w:eastAsia="fr-FR"/>
        </w:rPr>
        <w:t>Ce premier Contrat d’achat d’énergie</w:t>
      </w:r>
      <w:r w:rsidR="008678C0">
        <w:rPr>
          <w:rFonts w:asciiTheme="majorHAnsi" w:hAnsiTheme="majorHAnsi" w:cstheme="majorHAnsi"/>
          <w:sz w:val="20"/>
          <w:szCs w:val="20"/>
          <w:lang w:eastAsia="fr-FR"/>
        </w:rPr>
        <w:t>s</w:t>
      </w:r>
      <w:r>
        <w:rPr>
          <w:rFonts w:asciiTheme="majorHAnsi" w:hAnsiTheme="majorHAnsi" w:cstheme="majorHAnsi"/>
          <w:sz w:val="20"/>
          <w:szCs w:val="20"/>
          <w:lang w:eastAsia="fr-FR"/>
        </w:rPr>
        <w:t xml:space="preserve"> renouvelable</w:t>
      </w:r>
      <w:r w:rsidR="008678C0">
        <w:rPr>
          <w:rFonts w:asciiTheme="majorHAnsi" w:hAnsiTheme="majorHAnsi" w:cstheme="majorHAnsi"/>
          <w:sz w:val="20"/>
          <w:szCs w:val="20"/>
          <w:lang w:eastAsia="fr-FR"/>
        </w:rPr>
        <w:t>s</w:t>
      </w:r>
      <w:r>
        <w:rPr>
          <w:rFonts w:asciiTheme="majorHAnsi" w:hAnsiTheme="majorHAnsi" w:cstheme="majorHAnsi"/>
          <w:sz w:val="20"/>
          <w:szCs w:val="20"/>
          <w:lang w:eastAsia="fr-FR"/>
        </w:rPr>
        <w:t xml:space="preserve"> ne se limite pas à une expérimentation locale, il a vocation à devenir </w:t>
      </w:r>
      <w:r>
        <w:rPr>
          <w:rFonts w:asciiTheme="majorHAnsi" w:hAnsiTheme="majorHAnsi" w:cstheme="majorHAnsi"/>
          <w:b/>
          <w:bCs/>
          <w:sz w:val="20"/>
          <w:szCs w:val="20"/>
          <w:lang w:eastAsia="fr-FR"/>
        </w:rPr>
        <w:t>un modèle</w:t>
      </w:r>
      <w:r>
        <w:rPr>
          <w:rFonts w:asciiTheme="majorHAnsi" w:hAnsiTheme="majorHAnsi" w:cstheme="majorHAnsi"/>
          <w:sz w:val="20"/>
          <w:szCs w:val="20"/>
          <w:lang w:eastAsia="fr-FR"/>
        </w:rPr>
        <w:t xml:space="preserve"> pour d’autres territoires.</w:t>
      </w:r>
    </w:p>
    <w:p w14:paraId="4ECB15FE" w14:textId="77777777" w:rsidR="00272323" w:rsidRDefault="00A25768" w:rsidP="0050536A">
      <w:pPr>
        <w:spacing w:beforeAutospacing="1" w:after="120"/>
        <w:jc w:val="both"/>
        <w:rPr>
          <w:rFonts w:asciiTheme="majorHAnsi" w:hAnsiTheme="majorHAnsi" w:cstheme="majorHAnsi"/>
          <w:sz w:val="20"/>
          <w:szCs w:val="20"/>
          <w:lang w:eastAsia="fr-FR"/>
        </w:rPr>
      </w:pPr>
      <w:r>
        <w:rPr>
          <w:rFonts w:asciiTheme="majorHAnsi" w:hAnsiTheme="majorHAnsi" w:cstheme="majorHAnsi"/>
          <w:sz w:val="20"/>
          <w:szCs w:val="20"/>
          <w:lang w:eastAsia="fr-FR"/>
        </w:rPr>
        <w:t xml:space="preserve">En structurant un dispositif innovant, transparent et dans le respect du cadre légal entourant la commande publique, Nantes Métropole et TE44 ouvrent la voie à une nouvelle manière d’acheter de l’énergie publique, plus responsable et plus ancrée localement. </w:t>
      </w:r>
    </w:p>
    <w:p w14:paraId="60179B25" w14:textId="77777777" w:rsidR="00272323" w:rsidRDefault="00A25768" w:rsidP="0050536A">
      <w:pPr>
        <w:spacing w:beforeAutospacing="1" w:after="120"/>
        <w:jc w:val="both"/>
        <w:rPr>
          <w:rFonts w:asciiTheme="majorHAnsi" w:hAnsiTheme="majorHAnsi" w:cstheme="majorHAnsi"/>
          <w:i/>
          <w:iCs/>
          <w:sz w:val="20"/>
          <w:szCs w:val="20"/>
          <w:lang w:eastAsia="fr-FR"/>
        </w:rPr>
      </w:pPr>
      <w:r>
        <w:rPr>
          <w:rFonts w:asciiTheme="majorHAnsi" w:hAnsiTheme="majorHAnsi" w:cstheme="majorHAnsi"/>
          <w:sz w:val="20"/>
          <w:szCs w:val="20"/>
          <w:lang w:eastAsia="fr-FR"/>
        </w:rPr>
        <w:t>La FNCCR et France Urbaine accompagnent Nantes Métropole et TE44 depuis le lancement du projet de ce 1</w:t>
      </w:r>
      <w:r>
        <w:rPr>
          <w:rFonts w:asciiTheme="majorHAnsi" w:hAnsiTheme="majorHAnsi" w:cstheme="majorHAnsi"/>
          <w:sz w:val="20"/>
          <w:szCs w:val="20"/>
          <w:vertAlign w:val="superscript"/>
          <w:lang w:eastAsia="fr-FR"/>
        </w:rPr>
        <w:t>er</w:t>
      </w:r>
      <w:r>
        <w:rPr>
          <w:rFonts w:asciiTheme="majorHAnsi" w:hAnsiTheme="majorHAnsi" w:cstheme="majorHAnsi"/>
          <w:sz w:val="20"/>
          <w:szCs w:val="20"/>
          <w:lang w:eastAsia="fr-FR"/>
        </w:rPr>
        <w:t xml:space="preserve"> CADER. C’est pourquoi, les 2 organisations s’associent à cette journée nationale </w:t>
      </w:r>
      <w:r>
        <w:rPr>
          <w:rFonts w:asciiTheme="majorHAnsi" w:hAnsiTheme="majorHAnsi" w:cstheme="majorHAnsi"/>
          <w:i/>
          <w:iCs/>
          <w:sz w:val="20"/>
          <w:szCs w:val="20"/>
          <w:lang w:eastAsia="fr-FR"/>
        </w:rPr>
        <w:t xml:space="preserve">« CADER : de la théorie à la réalité pour les acheteurs publics ! » </w:t>
      </w:r>
    </w:p>
    <w:p w14:paraId="04A7CD89" w14:textId="77777777" w:rsidR="00272323" w:rsidRDefault="00A25768" w:rsidP="0050536A">
      <w:pPr>
        <w:spacing w:beforeAutospacing="1" w:after="120"/>
        <w:jc w:val="both"/>
        <w:rPr>
          <w:rFonts w:asciiTheme="majorHAnsi" w:hAnsiTheme="majorHAnsi" w:cstheme="majorHAnsi"/>
          <w:sz w:val="20"/>
          <w:szCs w:val="20"/>
          <w:lang w:eastAsia="fr-FR"/>
        </w:rPr>
      </w:pPr>
      <w:r>
        <w:rPr>
          <w:rFonts w:asciiTheme="majorHAnsi" w:hAnsiTheme="majorHAnsi" w:cstheme="majorHAnsi"/>
          <w:sz w:val="20"/>
          <w:szCs w:val="20"/>
          <w:lang w:eastAsia="fr-FR"/>
        </w:rPr>
        <w:lastRenderedPageBreak/>
        <w:t>À partir de l’expérience menée par Nantes Métropole et TE44, l’objectif est bien de répondre aux interrogations, lever les freins, afin de simplifier et amplifier la mise en place de CADER au niveau national.</w:t>
      </w:r>
    </w:p>
    <w:p w14:paraId="3484B43F" w14:textId="77777777" w:rsidR="00272323" w:rsidRDefault="00272323" w:rsidP="0050536A">
      <w:pPr>
        <w:spacing w:after="120"/>
        <w:jc w:val="both"/>
        <w:rPr>
          <w:rFonts w:asciiTheme="majorHAnsi" w:hAnsiTheme="majorHAnsi" w:cstheme="majorHAnsi"/>
          <w:sz w:val="20"/>
          <w:szCs w:val="20"/>
        </w:rPr>
      </w:pPr>
    </w:p>
    <w:tbl>
      <w:tblPr>
        <w:tblStyle w:val="Grilledutableau"/>
        <w:tblW w:w="9060" w:type="dxa"/>
        <w:tblLayout w:type="fixed"/>
        <w:tblLook w:val="04A0" w:firstRow="1" w:lastRow="0" w:firstColumn="1" w:lastColumn="0" w:noHBand="0" w:noVBand="1"/>
      </w:tblPr>
      <w:tblGrid>
        <w:gridCol w:w="9060"/>
      </w:tblGrid>
      <w:tr w:rsidR="00272323" w14:paraId="4BC28E08" w14:textId="77777777">
        <w:tc>
          <w:tcPr>
            <w:tcW w:w="9060" w:type="dxa"/>
            <w:shd w:val="clear" w:color="auto" w:fill="F2F2F2" w:themeFill="background2" w:themeFillShade="F2"/>
          </w:tcPr>
          <w:p w14:paraId="6203A68F" w14:textId="77777777" w:rsidR="00272323" w:rsidRDefault="00A25768" w:rsidP="0050536A">
            <w:pPr>
              <w:spacing w:after="120"/>
              <w:jc w:val="both"/>
              <w:rPr>
                <w:rStyle w:val="normaltextrun"/>
                <w:rFonts w:asciiTheme="majorHAnsi" w:eastAsiaTheme="majorEastAsia" w:hAnsiTheme="majorHAnsi" w:cstheme="majorHAnsi"/>
                <w:b/>
                <w:bCs/>
                <w:color w:val="FB7D34" w:themeColor="accent3" w:themeTint="99"/>
              </w:rPr>
            </w:pPr>
            <w:r>
              <w:rPr>
                <w:rStyle w:val="normaltextrun"/>
                <w:rFonts w:asciiTheme="majorHAnsi" w:eastAsiaTheme="majorEastAsia" w:hAnsiTheme="majorHAnsi" w:cstheme="majorHAnsi"/>
                <w:b/>
                <w:bCs/>
                <w:color w:val="FB7D34" w:themeColor="accent3" w:themeTint="99"/>
              </w:rPr>
              <w:t xml:space="preserve">A propos : </w:t>
            </w:r>
          </w:p>
          <w:p w14:paraId="41199557" w14:textId="77777777" w:rsidR="00272323" w:rsidRDefault="00272323" w:rsidP="0050536A">
            <w:pPr>
              <w:spacing w:after="120"/>
              <w:jc w:val="both"/>
              <w:rPr>
                <w:rStyle w:val="normaltextrun"/>
                <w:rFonts w:asciiTheme="majorHAnsi" w:eastAsiaTheme="majorEastAsia" w:hAnsiTheme="majorHAnsi" w:cstheme="majorHAnsi"/>
                <w:b/>
                <w:bCs/>
                <w:color w:val="404040"/>
                <w:sz w:val="20"/>
                <w:szCs w:val="20"/>
              </w:rPr>
            </w:pPr>
          </w:p>
          <w:p w14:paraId="0D82F8D6" w14:textId="77777777" w:rsidR="00272323" w:rsidRPr="00A25768" w:rsidRDefault="00A25768" w:rsidP="0050536A">
            <w:pPr>
              <w:spacing w:after="120"/>
              <w:jc w:val="both"/>
              <w:rPr>
                <w:rFonts w:asciiTheme="majorHAnsi" w:eastAsiaTheme="majorEastAsia" w:hAnsiTheme="majorHAnsi" w:cstheme="majorHAnsi"/>
                <w:b/>
                <w:bCs/>
                <w:sz w:val="20"/>
                <w:szCs w:val="20"/>
              </w:rPr>
            </w:pPr>
            <w:r w:rsidRPr="00A25768">
              <w:rPr>
                <w:rStyle w:val="normaltextrun"/>
                <w:rFonts w:asciiTheme="majorHAnsi" w:eastAsiaTheme="majorEastAsia" w:hAnsiTheme="majorHAnsi" w:cstheme="majorHAnsi"/>
                <w:b/>
                <w:bCs/>
                <w:sz w:val="20"/>
                <w:szCs w:val="20"/>
              </w:rPr>
              <w:t>Territoire d’énergie Loire-Atlantique (TE44)</w:t>
            </w:r>
          </w:p>
          <w:p w14:paraId="7490CF21" w14:textId="77777777" w:rsidR="00272323" w:rsidRPr="00A25768" w:rsidRDefault="00A25768" w:rsidP="0050536A">
            <w:pPr>
              <w:pStyle w:val="paragraph"/>
              <w:spacing w:beforeAutospacing="0" w:after="120" w:afterAutospacing="0"/>
              <w:jc w:val="both"/>
              <w:textAlignment w:val="baseline"/>
              <w:rPr>
                <w:rFonts w:asciiTheme="majorHAnsi" w:hAnsiTheme="majorHAnsi" w:cstheme="majorHAnsi"/>
                <w:sz w:val="20"/>
                <w:szCs w:val="20"/>
              </w:rPr>
            </w:pPr>
            <w:r w:rsidRPr="00A25768">
              <w:rPr>
                <w:rStyle w:val="normaltextrun"/>
                <w:rFonts w:asciiTheme="majorHAnsi" w:eastAsiaTheme="majorEastAsia" w:hAnsiTheme="majorHAnsi" w:cstheme="majorHAnsi"/>
                <w:sz w:val="20"/>
                <w:szCs w:val="20"/>
              </w:rPr>
              <w:t>TE44 est le service public de l’énergie pour 194 collectivités de Loire-Atlantique (180 communes et 14 intercommunalités). En sa qualité d’Autorité organisatrice de la distribution d'énergie (AODE), TE44 est propriétaire des réseaux publics de distribution d’électricité et de gaz dont il confie l’exploitation à Enedis et GRDF. </w:t>
            </w:r>
            <w:r w:rsidRPr="00A25768">
              <w:rPr>
                <w:rStyle w:val="eop"/>
                <w:rFonts w:asciiTheme="majorHAnsi" w:eastAsiaTheme="majorEastAsia" w:hAnsiTheme="majorHAnsi" w:cstheme="majorHAnsi"/>
                <w:sz w:val="20"/>
                <w:szCs w:val="20"/>
              </w:rPr>
              <w:t> </w:t>
            </w:r>
          </w:p>
          <w:p w14:paraId="72671753" w14:textId="77777777" w:rsidR="00272323" w:rsidRPr="00A25768" w:rsidRDefault="00A25768" w:rsidP="0050536A">
            <w:pPr>
              <w:pStyle w:val="paragraph"/>
              <w:spacing w:beforeAutospacing="0" w:after="120" w:afterAutospacing="0"/>
              <w:jc w:val="both"/>
              <w:textAlignment w:val="baseline"/>
              <w:rPr>
                <w:rFonts w:asciiTheme="majorHAnsi" w:hAnsiTheme="majorHAnsi" w:cstheme="majorHAnsi"/>
                <w:sz w:val="20"/>
                <w:szCs w:val="20"/>
              </w:rPr>
            </w:pPr>
            <w:r w:rsidRPr="00A25768">
              <w:rPr>
                <w:rStyle w:val="normaltextrun"/>
                <w:rFonts w:asciiTheme="majorHAnsi" w:eastAsiaTheme="majorEastAsia" w:hAnsiTheme="majorHAnsi" w:cstheme="majorHAnsi"/>
                <w:sz w:val="20"/>
                <w:szCs w:val="20"/>
              </w:rPr>
              <w:t>TE44 déploie depuis plus de 85 ans son expertise et sa technicité au service de ses adhérents, conformément à ses valeurs d’équité, de solidarité et de confiance. </w:t>
            </w:r>
            <w:r w:rsidRPr="00A25768">
              <w:rPr>
                <w:rStyle w:val="eop"/>
                <w:rFonts w:asciiTheme="majorHAnsi" w:eastAsiaTheme="majorEastAsia" w:hAnsiTheme="majorHAnsi" w:cstheme="majorHAnsi"/>
                <w:sz w:val="20"/>
                <w:szCs w:val="20"/>
              </w:rPr>
              <w:t> </w:t>
            </w:r>
          </w:p>
          <w:p w14:paraId="77F6D28B" w14:textId="77777777" w:rsidR="00272323" w:rsidRPr="00A25768" w:rsidRDefault="00A25768" w:rsidP="0050536A">
            <w:pPr>
              <w:pStyle w:val="paragraph"/>
              <w:spacing w:beforeAutospacing="0" w:after="120" w:afterAutospacing="0"/>
              <w:jc w:val="both"/>
              <w:textAlignment w:val="baseline"/>
              <w:rPr>
                <w:rStyle w:val="normaltextrun"/>
                <w:rFonts w:asciiTheme="majorHAnsi" w:eastAsiaTheme="majorEastAsia" w:hAnsiTheme="majorHAnsi" w:cstheme="majorHAnsi"/>
                <w:sz w:val="20"/>
                <w:szCs w:val="20"/>
              </w:rPr>
            </w:pPr>
            <w:r w:rsidRPr="00A25768">
              <w:rPr>
                <w:rStyle w:val="normaltextrun"/>
                <w:rFonts w:asciiTheme="majorHAnsi" w:eastAsiaTheme="majorEastAsia" w:hAnsiTheme="majorHAnsi" w:cstheme="majorHAnsi"/>
                <w:sz w:val="20"/>
                <w:szCs w:val="20"/>
              </w:rPr>
              <w:t xml:space="preserve">Depuis une quinzaine d’années, TE44 a élargi ses activités et missions pour mettre en œuvre et accélérer la transition énergétique des territoires, qu’il s’agisse de mobilité durable, d’efficacité et de sobriété énergétique, de développement des sites de production d’énergies renouvelables, tout en faisant évoluer ses réseaux d’énergie... </w:t>
            </w:r>
          </w:p>
          <w:p w14:paraId="52F82764" w14:textId="77777777" w:rsidR="00272323" w:rsidRDefault="00A25768" w:rsidP="0050536A">
            <w:pPr>
              <w:pStyle w:val="paragraph"/>
              <w:spacing w:beforeAutospacing="0" w:after="120" w:afterAutospacing="0"/>
              <w:jc w:val="both"/>
              <w:textAlignment w:val="baseline"/>
              <w:rPr>
                <w:rStyle w:val="normaltextrun"/>
                <w:rFonts w:asciiTheme="majorHAnsi" w:eastAsiaTheme="majorEastAsia" w:hAnsiTheme="majorHAnsi" w:cstheme="majorHAnsi"/>
                <w:b/>
                <w:bCs/>
                <w:sz w:val="20"/>
                <w:szCs w:val="20"/>
              </w:rPr>
            </w:pPr>
            <w:r>
              <w:rPr>
                <w:rStyle w:val="normaltextrun"/>
                <w:rFonts w:asciiTheme="majorHAnsi" w:eastAsiaTheme="majorEastAsia" w:hAnsiTheme="majorHAnsi" w:cstheme="majorHAnsi"/>
                <w:b/>
                <w:bCs/>
                <w:sz w:val="20"/>
                <w:szCs w:val="20"/>
              </w:rPr>
              <w:t>FNCCR</w:t>
            </w:r>
          </w:p>
          <w:p w14:paraId="150BFBC6" w14:textId="77777777" w:rsidR="00272323" w:rsidRDefault="00A25768" w:rsidP="0050536A">
            <w:pPr>
              <w:pStyle w:val="paragraph"/>
              <w:spacing w:beforeAutospacing="0" w:after="120" w:afterAutospacing="0"/>
              <w:jc w:val="both"/>
              <w:textAlignment w:val="baseline"/>
              <w:rPr>
                <w:rStyle w:val="normaltextrun"/>
                <w:rFonts w:asciiTheme="majorHAnsi" w:eastAsiaTheme="majorEastAsia" w:hAnsiTheme="majorHAnsi" w:cstheme="majorHAnsi"/>
                <w:sz w:val="20"/>
                <w:szCs w:val="20"/>
              </w:rPr>
            </w:pPr>
            <w:r>
              <w:rPr>
                <w:rFonts w:asciiTheme="majorHAnsi" w:hAnsiTheme="majorHAnsi" w:cstheme="majorHAnsi"/>
                <w:sz w:val="20"/>
                <w:szCs w:val="20"/>
              </w:rPr>
              <w:t>La Fédération nationale des collectivités concédantes et régies est une association de collectivités locales dévolue à l’organisation et à l’amélioration continue des services publics locaux (énergie, eau, numérique, déchets). Organisme représentatif, elle regroupe à la fois des collectivités (communes, communautés, métropoles, syndicats, départements, régions…) qui délèguent les services publics et d’autres qui les gèrent elles-mêmes (régies, SEM, coopératives d’usagers…). Elle rassemble près de 900 collectivités regroupant 61 millions d’habitants en France continentale et dans les zones non-interconnectées et les territoires ultramarins.</w:t>
            </w:r>
          </w:p>
          <w:p w14:paraId="07C6A99C" w14:textId="77777777" w:rsidR="00272323" w:rsidRDefault="00A25768" w:rsidP="0050536A">
            <w:pPr>
              <w:pStyle w:val="paragraph"/>
              <w:spacing w:beforeAutospacing="0" w:after="120" w:afterAutospacing="0"/>
              <w:jc w:val="both"/>
              <w:textAlignment w:val="baseline"/>
              <w:rPr>
                <w:rStyle w:val="normaltextrun"/>
                <w:rFonts w:asciiTheme="majorHAnsi" w:eastAsiaTheme="majorEastAsia" w:hAnsiTheme="majorHAnsi" w:cstheme="majorHAnsi"/>
                <w:b/>
                <w:bCs/>
                <w:sz w:val="20"/>
                <w:szCs w:val="20"/>
              </w:rPr>
            </w:pPr>
            <w:r>
              <w:rPr>
                <w:rStyle w:val="normaltextrun"/>
                <w:rFonts w:asciiTheme="majorHAnsi" w:eastAsiaTheme="majorEastAsia" w:hAnsiTheme="majorHAnsi" w:cstheme="majorHAnsi"/>
                <w:b/>
                <w:bCs/>
                <w:sz w:val="20"/>
                <w:szCs w:val="20"/>
              </w:rPr>
              <w:t>France Urbaine</w:t>
            </w:r>
          </w:p>
          <w:p w14:paraId="6B656E81" w14:textId="77777777" w:rsidR="00272323" w:rsidRDefault="00A25768" w:rsidP="0050536A">
            <w:pPr>
              <w:pStyle w:val="paragraph"/>
              <w:spacing w:beforeAutospacing="0" w:after="120" w:afterAutospacing="0"/>
              <w:jc w:val="both"/>
              <w:textAlignment w:val="baseline"/>
              <w:rPr>
                <w:rFonts w:ascii="Aptos" w:hAnsi="Aptos"/>
              </w:rPr>
            </w:pPr>
            <w:r>
              <w:rPr>
                <w:rFonts w:asciiTheme="majorHAnsi" w:hAnsiTheme="majorHAnsi" w:cstheme="majorHAnsi"/>
                <w:sz w:val="20"/>
                <w:szCs w:val="20"/>
              </w:rPr>
              <w:t>France urbaine est l'association nationale de référence des grandes villes, métropoles, communautés et agglomérations urbaines. Elle incarne la diversité urbaine et promeut l'Alliance des territoires.</w:t>
            </w:r>
            <w:r>
              <w:rPr>
                <w:rFonts w:ascii="Aptos" w:hAnsi="Aptos"/>
              </w:rPr>
              <w:t xml:space="preserve"> </w:t>
            </w:r>
          </w:p>
          <w:p w14:paraId="2D4D4AD8" w14:textId="77777777" w:rsidR="00272323" w:rsidRDefault="00A25768" w:rsidP="0050536A">
            <w:pPr>
              <w:pStyle w:val="paragraph"/>
              <w:spacing w:beforeAutospacing="0" w:after="120" w:afterAutospacing="0"/>
              <w:jc w:val="both"/>
              <w:textAlignment w:val="baseline"/>
              <w:rPr>
                <w:rFonts w:asciiTheme="majorHAnsi" w:hAnsiTheme="majorHAnsi" w:cstheme="majorHAnsi"/>
                <w:b/>
                <w:bCs/>
                <w:sz w:val="20"/>
                <w:szCs w:val="20"/>
              </w:rPr>
            </w:pPr>
            <w:r>
              <w:rPr>
                <w:rFonts w:asciiTheme="majorHAnsi" w:hAnsiTheme="majorHAnsi" w:cstheme="majorHAnsi"/>
                <w:b/>
                <w:bCs/>
                <w:sz w:val="20"/>
                <w:szCs w:val="20"/>
              </w:rPr>
              <w:t xml:space="preserve">Valorem </w:t>
            </w:r>
          </w:p>
          <w:p w14:paraId="093CFD3D" w14:textId="77777777" w:rsidR="00272323" w:rsidRDefault="00A25768" w:rsidP="0050536A">
            <w:pPr>
              <w:spacing w:after="120"/>
              <w:jc w:val="both"/>
              <w:rPr>
                <w:rFonts w:asciiTheme="majorHAnsi" w:hAnsiTheme="majorHAnsi" w:cstheme="majorHAnsi"/>
                <w:sz w:val="20"/>
                <w:szCs w:val="20"/>
              </w:rPr>
            </w:pPr>
            <w:r>
              <w:rPr>
                <w:rFonts w:asciiTheme="majorHAnsi" w:hAnsiTheme="majorHAnsi" w:cstheme="majorHAnsi"/>
                <w:sz w:val="20"/>
                <w:szCs w:val="20"/>
              </w:rPr>
              <w:t>Opérateur français et indépendant en énergies vertes, le Groupe VALOREM maîtrise tout le processus de valorisation des énergies renouvelables, du développement à l’exploitation-maintenance en passant par des prestations d’assistance à maîtrise d’ouvrage, de construction ou d’audit. Pionnier de l’éolien en France et fort de plus de 530 collaborateurs, VALOREM est aussi présent en Finlande, Grèce, Pologne, Suède et Roumanie. Son activité se déploie sur l’éolien terrestre et en mer, le solaire photovoltaïque au sol et en toiture, l’</w:t>
            </w:r>
            <w:proofErr w:type="spellStart"/>
            <w:r>
              <w:rPr>
                <w:rFonts w:asciiTheme="majorHAnsi" w:hAnsiTheme="majorHAnsi" w:cstheme="majorHAnsi"/>
                <w:sz w:val="20"/>
                <w:szCs w:val="20"/>
              </w:rPr>
              <w:t>agrivoltaïsme</w:t>
            </w:r>
            <w:proofErr w:type="spellEnd"/>
            <w:r>
              <w:rPr>
                <w:rFonts w:asciiTheme="majorHAnsi" w:hAnsiTheme="majorHAnsi" w:cstheme="majorHAnsi"/>
                <w:sz w:val="20"/>
                <w:szCs w:val="20"/>
              </w:rPr>
              <w:t>, l’hydroélectricité et les systèmes de stockage et d’hydrogène. </w:t>
            </w:r>
          </w:p>
          <w:p w14:paraId="03CBCC8E" w14:textId="77777777" w:rsidR="00272323" w:rsidRDefault="00A25768" w:rsidP="0050536A">
            <w:pPr>
              <w:spacing w:after="120"/>
              <w:jc w:val="both"/>
              <w:rPr>
                <w:rFonts w:asciiTheme="majorHAnsi" w:hAnsiTheme="majorHAnsi" w:cstheme="majorHAnsi"/>
                <w:sz w:val="20"/>
                <w:szCs w:val="20"/>
              </w:rPr>
            </w:pPr>
            <w:r>
              <w:rPr>
                <w:rFonts w:asciiTheme="majorHAnsi" w:hAnsiTheme="majorHAnsi" w:cstheme="majorHAnsi"/>
                <w:sz w:val="20"/>
                <w:szCs w:val="20"/>
              </w:rPr>
              <w:t>Depuis sa création en 1994, le groupe gère 940 MW d’installations en électricité renouvelable et dispose d’un portefeuille de 7,6 GW de projets en développement. En 2024, ses actifs ont produit 1,3 TWh d’électricité verte. </w:t>
            </w:r>
          </w:p>
          <w:p w14:paraId="3C730A53" w14:textId="77777777" w:rsidR="00272323" w:rsidRDefault="00A25768" w:rsidP="0050536A">
            <w:pPr>
              <w:spacing w:after="120"/>
              <w:jc w:val="both"/>
              <w:rPr>
                <w:rFonts w:asciiTheme="majorHAnsi" w:hAnsiTheme="majorHAnsi" w:cstheme="majorHAnsi"/>
                <w:sz w:val="20"/>
                <w:szCs w:val="20"/>
              </w:rPr>
            </w:pPr>
            <w:r>
              <w:rPr>
                <w:rFonts w:asciiTheme="majorHAnsi" w:hAnsiTheme="majorHAnsi" w:cstheme="majorHAnsi"/>
                <w:sz w:val="20"/>
                <w:szCs w:val="20"/>
              </w:rPr>
              <w:t>Société à mission, VALOREM a pour raison d’être « Valoriser ensemble les énergies des territoires, pour ouvrir la voie à un avenir durable et solidaire ». </w:t>
            </w:r>
          </w:p>
          <w:p w14:paraId="245FE879" w14:textId="77777777" w:rsidR="00272323" w:rsidRDefault="00A25768" w:rsidP="0050536A">
            <w:pPr>
              <w:spacing w:after="120"/>
              <w:jc w:val="both"/>
              <w:rPr>
                <w:rFonts w:asciiTheme="majorHAnsi" w:hAnsiTheme="majorHAnsi" w:cstheme="majorHAnsi"/>
                <w:sz w:val="20"/>
                <w:szCs w:val="20"/>
              </w:rPr>
            </w:pPr>
            <w:r>
              <w:rPr>
                <w:rFonts w:asciiTheme="majorHAnsi" w:hAnsiTheme="majorHAnsi" w:cstheme="majorHAnsi"/>
                <w:sz w:val="20"/>
                <w:szCs w:val="20"/>
              </w:rPr>
              <w:t>VALOREM est certifié ISO 9001 – qualité, ISO 14001 – environnement, ISO 45001 – santé et sécurité au travail et ISO 20400 avec le label « Relations Fournisseurs et Achats Responsables ». </w:t>
            </w:r>
          </w:p>
          <w:p w14:paraId="0F80BAE7" w14:textId="39726E20" w:rsidR="0050536A" w:rsidRDefault="00A25768" w:rsidP="0050536A">
            <w:pPr>
              <w:spacing w:after="120"/>
              <w:jc w:val="both"/>
              <w:rPr>
                <w:rFonts w:asciiTheme="majorHAnsi" w:hAnsiTheme="majorHAnsi" w:cstheme="majorHAnsi"/>
                <w:sz w:val="20"/>
                <w:szCs w:val="20"/>
              </w:rPr>
            </w:pPr>
            <w:r>
              <w:rPr>
                <w:rFonts w:asciiTheme="majorHAnsi" w:hAnsiTheme="majorHAnsi" w:cstheme="majorHAnsi"/>
                <w:sz w:val="20"/>
                <w:szCs w:val="20"/>
              </w:rPr>
              <w:t xml:space="preserve">Retrouvez toutes nos actualités : </w:t>
            </w:r>
            <w:hyperlink r:id="rId10" w:tgtFrame="_blank">
              <w:r>
                <w:rPr>
                  <w:rStyle w:val="Lienhypertexte"/>
                  <w:rFonts w:asciiTheme="majorHAnsi" w:hAnsiTheme="majorHAnsi" w:cstheme="majorHAnsi"/>
                  <w:b/>
                  <w:bCs/>
                  <w:sz w:val="20"/>
                  <w:szCs w:val="20"/>
                </w:rPr>
                <w:t>www.valorem-energie.com</w:t>
              </w:r>
            </w:hyperlink>
            <w:r>
              <w:rPr>
                <w:rFonts w:asciiTheme="majorHAnsi" w:hAnsiTheme="majorHAnsi" w:cstheme="majorHAnsi"/>
                <w:sz w:val="20"/>
                <w:szCs w:val="20"/>
              </w:rPr>
              <w:t xml:space="preserve"> ½  </w:t>
            </w:r>
            <w:r>
              <w:rPr>
                <w:noProof/>
              </w:rPr>
              <w:drawing>
                <wp:inline distT="0" distB="0" distL="0" distR="0" wp14:anchorId="44B09358" wp14:editId="451177A0">
                  <wp:extent cx="121920" cy="121920"/>
                  <wp:effectExtent l="0" t="0" r="0" b="0"/>
                  <wp:docPr id="3" name="Image 10" descr="Une image contenant dessin, assiette&#10;&#10;Description générée automatiquemen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0" descr="Une image contenant dessin, assiette&#10;&#10;Description générée automatiquement, Image"/>
                          <pic:cNvPicPr>
                            <a:picLocks noChangeAspect="1" noChangeArrowheads="1"/>
                          </pic:cNvPicPr>
                        </pic:nvPicPr>
                        <pic:blipFill>
                          <a:blip r:embed="rId11"/>
                          <a:stretch>
                            <a:fillRect/>
                          </a:stretch>
                        </pic:blipFill>
                        <pic:spPr bwMode="auto">
                          <a:xfrm>
                            <a:off x="0" y="0"/>
                            <a:ext cx="121920" cy="121920"/>
                          </a:xfrm>
                          <a:prstGeom prst="rect">
                            <a:avLst/>
                          </a:prstGeom>
                        </pic:spPr>
                      </pic:pic>
                    </a:graphicData>
                  </a:graphic>
                </wp:inline>
              </w:drawing>
            </w:r>
            <w:r>
              <w:rPr>
                <w:rFonts w:asciiTheme="majorHAnsi" w:hAnsiTheme="majorHAnsi" w:cstheme="majorHAnsi"/>
                <w:sz w:val="20"/>
                <w:szCs w:val="20"/>
              </w:rPr>
              <w:t> </w:t>
            </w:r>
            <w:r>
              <w:rPr>
                <w:noProof/>
              </w:rPr>
              <w:drawing>
                <wp:inline distT="0" distB="0" distL="0" distR="0" wp14:anchorId="4A271B1A" wp14:editId="59479673">
                  <wp:extent cx="152400" cy="121920"/>
                  <wp:effectExtent l="0" t="0" r="0" b="0"/>
                  <wp:docPr id="4" name="Image 4" descr="visuel_youtub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visuel_youtube, Image"/>
                          <pic:cNvPicPr>
                            <a:picLocks noChangeAspect="1" noChangeArrowheads="1"/>
                          </pic:cNvPicPr>
                        </pic:nvPicPr>
                        <pic:blipFill>
                          <a:blip r:embed="rId12"/>
                          <a:stretch>
                            <a:fillRect/>
                          </a:stretch>
                        </pic:blipFill>
                        <pic:spPr bwMode="auto">
                          <a:xfrm>
                            <a:off x="0" y="0"/>
                            <a:ext cx="152400" cy="121920"/>
                          </a:xfrm>
                          <a:prstGeom prst="rect">
                            <a:avLst/>
                          </a:prstGeom>
                        </pic:spPr>
                      </pic:pic>
                    </a:graphicData>
                  </a:graphic>
                </wp:inline>
              </w:drawing>
            </w:r>
            <w:r>
              <w:rPr>
                <w:rFonts w:asciiTheme="majorHAnsi" w:hAnsiTheme="majorHAnsi" w:cstheme="majorHAnsi"/>
                <w:sz w:val="20"/>
                <w:szCs w:val="20"/>
              </w:rPr>
              <w:t>  </w:t>
            </w:r>
          </w:p>
          <w:p w14:paraId="7AF8DF68" w14:textId="37B5E2FA" w:rsidR="0050536A" w:rsidRPr="0050536A" w:rsidRDefault="0050536A" w:rsidP="0050536A">
            <w:pPr>
              <w:spacing w:after="120"/>
              <w:jc w:val="both"/>
              <w:rPr>
                <w:rFonts w:asciiTheme="majorHAnsi" w:hAnsiTheme="majorHAnsi" w:cstheme="majorHAnsi"/>
                <w:b/>
                <w:bCs/>
                <w:sz w:val="20"/>
                <w:szCs w:val="20"/>
              </w:rPr>
            </w:pPr>
            <w:proofErr w:type="spellStart"/>
            <w:r w:rsidRPr="0050536A">
              <w:rPr>
                <w:rFonts w:asciiTheme="majorHAnsi" w:hAnsiTheme="majorHAnsi" w:cstheme="majorHAnsi"/>
                <w:b/>
                <w:bCs/>
                <w:sz w:val="20"/>
                <w:szCs w:val="20"/>
              </w:rPr>
              <w:t>EnR</w:t>
            </w:r>
            <w:proofErr w:type="spellEnd"/>
            <w:r w:rsidRPr="0050536A">
              <w:rPr>
                <w:rFonts w:asciiTheme="majorHAnsi" w:hAnsiTheme="majorHAnsi" w:cstheme="majorHAnsi"/>
                <w:b/>
                <w:bCs/>
                <w:sz w:val="20"/>
                <w:szCs w:val="20"/>
              </w:rPr>
              <w:t xml:space="preserve"> 44</w:t>
            </w:r>
          </w:p>
          <w:p w14:paraId="57D17423" w14:textId="0ADE27AD" w:rsidR="0050536A" w:rsidRPr="0050536A" w:rsidRDefault="0050536A" w:rsidP="0050536A">
            <w:pPr>
              <w:spacing w:after="120"/>
              <w:jc w:val="both"/>
              <w:rPr>
                <w:rFonts w:asciiTheme="majorHAnsi" w:hAnsiTheme="majorHAnsi" w:cstheme="majorHAnsi"/>
                <w:sz w:val="20"/>
                <w:szCs w:val="20"/>
              </w:rPr>
            </w:pPr>
            <w:r w:rsidRPr="0050536A">
              <w:rPr>
                <w:rFonts w:asciiTheme="majorHAnsi" w:hAnsiTheme="majorHAnsi" w:cstheme="majorHAnsi"/>
                <w:sz w:val="20"/>
                <w:szCs w:val="20"/>
              </w:rPr>
              <w:t>EnR44 est l’acteur semi-public de référence en matière de production d’énergies renouvelables en Loire-Atlantique. Opérant pour le compte et à la demande des collectivités et autres acteurs publics locaux, EnR44 veille au développement raisonné et cohérent de tous types d’énergies renouvelables sur le territoire départemental.</w:t>
            </w:r>
          </w:p>
          <w:p w14:paraId="7FF3EC70" w14:textId="77777777" w:rsidR="00272323" w:rsidRDefault="00272323" w:rsidP="0050536A">
            <w:pPr>
              <w:pStyle w:val="paragraph"/>
              <w:spacing w:beforeAutospacing="0" w:after="120" w:afterAutospacing="0"/>
              <w:jc w:val="both"/>
              <w:textAlignment w:val="baseline"/>
              <w:rPr>
                <w:rFonts w:asciiTheme="majorHAnsi" w:eastAsiaTheme="majorEastAsia" w:hAnsiTheme="majorHAnsi" w:cstheme="majorHAnsi"/>
                <w:b/>
                <w:bCs/>
                <w:color w:val="404040"/>
                <w:sz w:val="20"/>
                <w:szCs w:val="20"/>
              </w:rPr>
            </w:pPr>
          </w:p>
        </w:tc>
      </w:tr>
    </w:tbl>
    <w:p w14:paraId="15588E6D" w14:textId="77777777" w:rsidR="00272323" w:rsidRDefault="00272323" w:rsidP="0050536A">
      <w:pPr>
        <w:spacing w:after="120"/>
        <w:jc w:val="both"/>
        <w:outlineLvl w:val="0"/>
        <w:rPr>
          <w:rFonts w:asciiTheme="majorHAnsi" w:hAnsiTheme="majorHAnsi" w:cstheme="majorHAnsi"/>
          <w:color w:val="000000" w:themeColor="text1"/>
          <w:sz w:val="20"/>
          <w:szCs w:val="20"/>
        </w:rPr>
      </w:pPr>
    </w:p>
    <w:sectPr w:rsidR="00272323">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737" w:left="1418" w:header="567" w:footer="68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0C764" w14:textId="77777777" w:rsidR="00837D14" w:rsidRDefault="00A25768">
      <w:r>
        <w:separator/>
      </w:r>
    </w:p>
  </w:endnote>
  <w:endnote w:type="continuationSeparator" w:id="0">
    <w:p w14:paraId="0CE40104" w14:textId="77777777" w:rsidR="00837D14" w:rsidRDefault="00A25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Mangal">
    <w:altName w:val="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4563" w14:textId="77777777" w:rsidR="00272323" w:rsidRDefault="00272323">
    <w:pPr>
      <w:pStyle w:val="Pieddepage"/>
      <w:ind w:left="-85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FA8C" w14:textId="77777777" w:rsidR="00272323" w:rsidRDefault="00272323">
    <w:pPr>
      <w:pStyle w:val="Pieddepage"/>
      <w:ind w:left="-85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93C0" w14:textId="77777777" w:rsidR="00272323" w:rsidRDefault="00272323">
    <w:pPr>
      <w:pStyle w:val="Pieddepage"/>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3AA19" w14:textId="77777777" w:rsidR="00837D14" w:rsidRDefault="00A25768">
      <w:r>
        <w:separator/>
      </w:r>
    </w:p>
  </w:footnote>
  <w:footnote w:type="continuationSeparator" w:id="0">
    <w:p w14:paraId="15653121" w14:textId="77777777" w:rsidR="00837D14" w:rsidRDefault="00A25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3625" w14:textId="77777777" w:rsidR="00272323" w:rsidRDefault="00A25768">
    <w:pPr>
      <w:pStyle w:val="En-tte"/>
      <w:ind w:left="-680"/>
    </w:pPr>
    <w:r>
      <w:rPr>
        <w:noProof/>
      </w:rPr>
      <w:drawing>
        <wp:inline distT="0" distB="0" distL="0" distR="0" wp14:anchorId="552BF589" wp14:editId="1277666F">
          <wp:extent cx="1529715" cy="152400"/>
          <wp:effectExtent l="0" t="0" r="0" b="0"/>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1"/>
                  <a:srcRect l="-47" t="-473" r="-47" b="-473"/>
                  <a:stretch>
                    <a:fillRect/>
                  </a:stretch>
                </pic:blipFill>
                <pic:spPr bwMode="auto">
                  <a:xfrm>
                    <a:off x="0" y="0"/>
                    <a:ext cx="1529715" cy="152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61E7C" w14:textId="77777777" w:rsidR="00272323" w:rsidRDefault="00A25768">
    <w:pPr>
      <w:pStyle w:val="En-tte"/>
      <w:ind w:left="-680"/>
    </w:pPr>
    <w:r>
      <w:rPr>
        <w:noProof/>
      </w:rPr>
      <w:drawing>
        <wp:inline distT="0" distB="0" distL="0" distR="0" wp14:anchorId="09A17CC1" wp14:editId="133BB615">
          <wp:extent cx="1529715" cy="152400"/>
          <wp:effectExtent l="0" t="0" r="0" b="0"/>
          <wp:docPr id="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pic:cNvPicPr>
                    <a:picLocks noChangeAspect="1" noChangeArrowheads="1"/>
                  </pic:cNvPicPr>
                </pic:nvPicPr>
                <pic:blipFill>
                  <a:blip r:embed="rId1"/>
                  <a:srcRect l="-47" t="-473" r="-47" b="-473"/>
                  <a:stretch>
                    <a:fillRect/>
                  </a:stretch>
                </pic:blipFill>
                <pic:spPr bwMode="auto">
                  <a:xfrm>
                    <a:off x="0" y="0"/>
                    <a:ext cx="1529715" cy="152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35614" w14:textId="77777777" w:rsidR="00272323" w:rsidRDefault="00A25768">
    <w:pPr>
      <w:pStyle w:val="En-tte"/>
      <w:ind w:left="-680"/>
    </w:pPr>
    <w:r>
      <w:rPr>
        <w:noProof/>
      </w:rPr>
      <w:drawing>
        <wp:anchor distT="0" distB="0" distL="0" distR="0" simplePos="0" relativeHeight="8" behindDoc="0" locked="0" layoutInCell="0" allowOverlap="1" wp14:anchorId="74C4FF6B" wp14:editId="749672AA">
          <wp:simplePos x="0" y="0"/>
          <wp:positionH relativeFrom="margin">
            <wp:posOffset>2719070</wp:posOffset>
          </wp:positionH>
          <wp:positionV relativeFrom="paragraph">
            <wp:posOffset>714375</wp:posOffset>
          </wp:positionV>
          <wp:extent cx="1440180" cy="52578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1"/>
                  <a:stretch>
                    <a:fillRect/>
                  </a:stretch>
                </pic:blipFill>
                <pic:spPr bwMode="auto">
                  <a:xfrm>
                    <a:off x="0" y="0"/>
                    <a:ext cx="1440180" cy="525780"/>
                  </a:xfrm>
                  <a:prstGeom prst="rect">
                    <a:avLst/>
                  </a:prstGeom>
                </pic:spPr>
              </pic:pic>
            </a:graphicData>
          </a:graphic>
        </wp:anchor>
      </w:drawing>
    </w:r>
    <w:r>
      <w:rPr>
        <w:noProof/>
      </w:rPr>
      <w:drawing>
        <wp:anchor distT="0" distB="0" distL="0" distR="0" simplePos="0" relativeHeight="10" behindDoc="0" locked="0" layoutInCell="1" allowOverlap="1" wp14:anchorId="23966A03" wp14:editId="04AEB747">
          <wp:simplePos x="0" y="0"/>
          <wp:positionH relativeFrom="column">
            <wp:posOffset>4212590</wp:posOffset>
          </wp:positionH>
          <wp:positionV relativeFrom="paragraph">
            <wp:posOffset>691515</wp:posOffset>
          </wp:positionV>
          <wp:extent cx="1150620" cy="496570"/>
          <wp:effectExtent l="0" t="0" r="0" b="0"/>
          <wp:wrapNone/>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
                  <pic:cNvPicPr>
                    <a:picLocks noChangeAspect="1" noChangeArrowheads="1"/>
                  </pic:cNvPicPr>
                </pic:nvPicPr>
                <pic:blipFill>
                  <a:blip r:embed="rId2"/>
                  <a:srcRect t="22212" b="20318"/>
                  <a:stretch>
                    <a:fillRect/>
                  </a:stretch>
                </pic:blipFill>
                <pic:spPr bwMode="auto">
                  <a:xfrm>
                    <a:off x="0" y="0"/>
                    <a:ext cx="1150620" cy="496570"/>
                  </a:xfrm>
                  <a:prstGeom prst="rect">
                    <a:avLst/>
                  </a:prstGeom>
                </pic:spPr>
              </pic:pic>
            </a:graphicData>
          </a:graphic>
        </wp:anchor>
      </w:drawing>
    </w:r>
    <w:r>
      <w:rPr>
        <w:noProof/>
      </w:rPr>
      <w:drawing>
        <wp:anchor distT="0" distB="0" distL="0" distR="0" simplePos="0" relativeHeight="11" behindDoc="0" locked="0" layoutInCell="1" allowOverlap="1" wp14:anchorId="7B71B496" wp14:editId="445EC203">
          <wp:simplePos x="0" y="0"/>
          <wp:positionH relativeFrom="column">
            <wp:posOffset>5507990</wp:posOffset>
          </wp:positionH>
          <wp:positionV relativeFrom="paragraph">
            <wp:posOffset>676275</wp:posOffset>
          </wp:positionV>
          <wp:extent cx="609600" cy="564515"/>
          <wp:effectExtent l="0" t="0" r="0" b="0"/>
          <wp:wrapNone/>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3"/>
                  <pic:cNvPicPr>
                    <a:picLocks noChangeAspect="1" noChangeArrowheads="1"/>
                  </pic:cNvPicPr>
                </pic:nvPicPr>
                <pic:blipFill>
                  <a:blip r:embed="rId3"/>
                  <a:stretch>
                    <a:fillRect/>
                  </a:stretch>
                </pic:blipFill>
                <pic:spPr bwMode="auto">
                  <a:xfrm>
                    <a:off x="0" y="0"/>
                    <a:ext cx="609600" cy="564515"/>
                  </a:xfrm>
                  <a:prstGeom prst="rect">
                    <a:avLst/>
                  </a:prstGeom>
                </pic:spPr>
              </pic:pic>
            </a:graphicData>
          </a:graphic>
        </wp:anchor>
      </w:drawing>
    </w:r>
    <w:r>
      <w:rPr>
        <w:noProof/>
      </w:rPr>
      <w:drawing>
        <wp:inline distT="0" distB="0" distL="0" distR="0" wp14:anchorId="657C428B" wp14:editId="009CDA44">
          <wp:extent cx="6180455" cy="971550"/>
          <wp:effectExtent l="0" t="0" r="0" b="0"/>
          <wp:docPr id="10"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pic:cNvPicPr>
                    <a:picLocks noChangeAspect="1" noChangeArrowheads="1"/>
                  </pic:cNvPicPr>
                </pic:nvPicPr>
                <pic:blipFill>
                  <a:blip r:embed="rId4"/>
                  <a:srcRect l="-12" t="-80" r="-12" b="-80"/>
                  <a:stretch>
                    <a:fillRect/>
                  </a:stretch>
                </pic:blipFill>
                <pic:spPr bwMode="auto">
                  <a:xfrm>
                    <a:off x="0" y="0"/>
                    <a:ext cx="6180455" cy="971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B7811"/>
    <w:multiLevelType w:val="multilevel"/>
    <w:tmpl w:val="D02490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C32023C"/>
    <w:multiLevelType w:val="multilevel"/>
    <w:tmpl w:val="EA88FAF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42AE3EA4"/>
    <w:multiLevelType w:val="multilevel"/>
    <w:tmpl w:val="AB7A1B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4DF325A"/>
    <w:multiLevelType w:val="multilevel"/>
    <w:tmpl w:val="E35E1C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2720BA3"/>
    <w:multiLevelType w:val="multilevel"/>
    <w:tmpl w:val="30385EC4"/>
    <w:lvl w:ilvl="0">
      <w:start w:val="1"/>
      <w:numFmt w:val="none"/>
      <w:pStyle w:val="Titre1"/>
      <w:suff w:val="nothing"/>
      <w:lvlText w:val="%1"/>
      <w:lvlJc w:val="left"/>
      <w:pPr>
        <w:tabs>
          <w:tab w:val="num" w:pos="0"/>
        </w:tabs>
        <w:ind w:left="432" w:hanging="432"/>
      </w:pPr>
    </w:lvl>
    <w:lvl w:ilvl="1">
      <w:start w:val="1"/>
      <w:numFmt w:val="none"/>
      <w:pStyle w:val="Titre2"/>
      <w:suff w:val="nothing"/>
      <w:lvlText w:val="%2"/>
      <w:lvlJc w:val="left"/>
      <w:pPr>
        <w:tabs>
          <w:tab w:val="num" w:pos="0"/>
        </w:tabs>
        <w:ind w:left="576" w:hanging="576"/>
      </w:pPr>
    </w:lvl>
    <w:lvl w:ilvl="2">
      <w:start w:val="1"/>
      <w:numFmt w:val="none"/>
      <w:pStyle w:val="Titre3"/>
      <w:suff w:val="nothing"/>
      <w:lvlText w:val="%3"/>
      <w:lvlJc w:val="left"/>
      <w:pPr>
        <w:tabs>
          <w:tab w:val="num" w:pos="0"/>
        </w:tabs>
        <w:ind w:left="720" w:hanging="72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62FF1C9A"/>
    <w:multiLevelType w:val="multilevel"/>
    <w:tmpl w:val="CA6063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54D0EE3"/>
    <w:multiLevelType w:val="multilevel"/>
    <w:tmpl w:val="93968B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70500D05"/>
    <w:multiLevelType w:val="multilevel"/>
    <w:tmpl w:val="30C459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4A23C0A"/>
    <w:multiLevelType w:val="multilevel"/>
    <w:tmpl w:val="2EEC9E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4"/>
  </w:num>
  <w:num w:numId="2">
    <w:abstractNumId w:val="8"/>
  </w:num>
  <w:num w:numId="3">
    <w:abstractNumId w:val="6"/>
  </w:num>
  <w:num w:numId="4">
    <w:abstractNumId w:val="1"/>
  </w:num>
  <w:num w:numId="5">
    <w:abstractNumId w:val="0"/>
  </w:num>
  <w:num w:numId="6">
    <w:abstractNumId w:val="2"/>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23"/>
    <w:rsid w:val="00272323"/>
    <w:rsid w:val="0050536A"/>
    <w:rsid w:val="00837D14"/>
    <w:rsid w:val="008678C0"/>
    <w:rsid w:val="009966C5"/>
    <w:rsid w:val="00A25768"/>
    <w:rsid w:val="00E4167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61FB08"/>
  <w15:docId w15:val="{E12A2E81-704B-484F-8DCD-E1405BA3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paragraph" w:styleId="Titre1">
    <w:name w:val="heading 1"/>
    <w:basedOn w:val="Normal"/>
    <w:next w:val="Corpsdetexte"/>
    <w:uiPriority w:val="9"/>
    <w:qFormat/>
    <w:pPr>
      <w:numPr>
        <w:numId w:val="1"/>
      </w:numPr>
      <w:spacing w:before="240" w:after="120"/>
      <w:outlineLvl w:val="0"/>
    </w:pPr>
    <w:rPr>
      <w:b/>
      <w:bCs/>
      <w:sz w:val="36"/>
      <w:szCs w:val="36"/>
    </w:rPr>
  </w:style>
  <w:style w:type="paragraph" w:styleId="Titre2">
    <w:name w:val="heading 2"/>
    <w:basedOn w:val="Normal"/>
    <w:next w:val="Corpsdetexte"/>
    <w:uiPriority w:val="9"/>
    <w:semiHidden/>
    <w:unhideWhenUsed/>
    <w:qFormat/>
    <w:pPr>
      <w:numPr>
        <w:ilvl w:val="1"/>
        <w:numId w:val="1"/>
      </w:numPr>
      <w:spacing w:before="200" w:after="120"/>
      <w:outlineLvl w:val="1"/>
    </w:pPr>
    <w:rPr>
      <w:b/>
      <w:bCs/>
      <w:sz w:val="32"/>
      <w:szCs w:val="32"/>
    </w:rPr>
  </w:style>
  <w:style w:type="paragraph" w:styleId="Titre3">
    <w:name w:val="heading 3"/>
    <w:basedOn w:val="Normal"/>
    <w:next w:val="Corpsdetexte"/>
    <w:uiPriority w:val="9"/>
    <w:unhideWhenUsed/>
    <w:qFormat/>
    <w:pPr>
      <w:numPr>
        <w:ilvl w:val="2"/>
        <w:numId w:val="1"/>
      </w:numPr>
      <w:spacing w:before="140" w:after="120"/>
      <w:outlineLvl w:val="2"/>
    </w:pPr>
    <w:rPr>
      <w:b/>
      <w:bCs/>
      <w:sz w:val="28"/>
      <w:szCs w:val="28"/>
    </w:rPr>
  </w:style>
  <w:style w:type="paragraph" w:styleId="Titre4">
    <w:name w:val="heading 4"/>
    <w:basedOn w:val="Normal"/>
    <w:next w:val="Corpsdetexte"/>
    <w:uiPriority w:val="9"/>
    <w:semiHidden/>
    <w:unhideWhenUsed/>
    <w:qFormat/>
    <w:pPr>
      <w:spacing w:before="120" w:after="120"/>
      <w:outlineLvl w:val="3"/>
    </w:pPr>
    <w:rPr>
      <w:rFonts w:ascii="Liberation Serif" w:eastAsia="NSimSun" w:hAnsi="Liberation Serif" w:cs="Arial"/>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Wingdings" w:eastAsia="Times New Roman" w:hAnsi="Wingdings"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styleId="Lienhypertexte">
    <w:name w:val="Hyperlink"/>
    <w:basedOn w:val="Policepardfaut"/>
    <w:rPr>
      <w:color w:val="0000FF"/>
      <w:u w:val="single"/>
    </w:rPr>
  </w:style>
  <w:style w:type="character" w:styleId="lev">
    <w:name w:val="Strong"/>
    <w:basedOn w:val="Policepardfaut"/>
    <w:uiPriority w:val="22"/>
    <w:qFormat/>
    <w:rPr>
      <w:b/>
      <w:bCs/>
    </w:rPr>
  </w:style>
  <w:style w:type="character" w:styleId="Lienhypertextesuivivisit">
    <w:name w:val="FollowedHyperlink"/>
    <w:rPr>
      <w:color w:val="800000"/>
      <w:u w:val="single"/>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FollowedHyperlink1">
    <w:name w:val="FollowedHyperlink1"/>
    <w:qFormat/>
    <w:rPr>
      <w:color w:val="800080"/>
      <w:u w:val="single"/>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Strong1">
    <w:name w:val="Strong1"/>
    <w:qFormat/>
    <w:rPr>
      <w:b/>
    </w:rPr>
  </w:style>
  <w:style w:type="character" w:customStyle="1" w:styleId="Typewriter">
    <w:name w:val="Typewriter"/>
    <w:qFormat/>
    <w:rPr>
      <w:rFonts w:ascii="Courier New" w:hAnsi="Courier New"/>
      <w:sz w:val="20"/>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Puces">
    <w:name w:val="Puces"/>
    <w:qFormat/>
    <w:rPr>
      <w:rFonts w:ascii="OpenSymbol" w:eastAsia="OpenSymbol" w:hAnsi="OpenSymbol" w:cs="OpenSymbol"/>
    </w:rPr>
  </w:style>
  <w:style w:type="character" w:customStyle="1" w:styleId="Caractresdenumrotation">
    <w:name w:val="Caractères de numérotation"/>
    <w:qFormat/>
  </w:style>
  <w:style w:type="character" w:customStyle="1" w:styleId="linenumber1">
    <w:name w:val="line number1"/>
    <w:qFormat/>
  </w:style>
  <w:style w:type="character" w:customStyle="1" w:styleId="DefaultParagraphFont1">
    <w:name w:val="Default Paragraph Font1"/>
    <w:qFormat/>
  </w:style>
  <w:style w:type="character" w:customStyle="1" w:styleId="CommentaireCar">
    <w:name w:val="Commentaire Car"/>
    <w:basedOn w:val="Policepardfaut"/>
    <w:link w:val="Commentaire"/>
    <w:uiPriority w:val="99"/>
    <w:qFormat/>
    <w:rPr>
      <w:rFonts w:ascii="Times New Roman" w:eastAsia="Times New Roman" w:hAnsi="Times New Roman" w:cs="Times New Roman"/>
      <w:sz w:val="20"/>
      <w:szCs w:val="20"/>
      <w:lang w:bidi="ar-SA"/>
    </w:rPr>
  </w:style>
  <w:style w:type="character" w:styleId="Marquedecommentaire">
    <w:name w:val="annotation reference"/>
    <w:basedOn w:val="Policepardfaut"/>
    <w:uiPriority w:val="99"/>
    <w:semiHidden/>
    <w:unhideWhenUsed/>
    <w:qFormat/>
    <w:rPr>
      <w:sz w:val="16"/>
      <w:szCs w:val="16"/>
    </w:rPr>
  </w:style>
  <w:style w:type="character" w:customStyle="1" w:styleId="ObjetducommentaireCar">
    <w:name w:val="Objet du commentaire Car"/>
    <w:basedOn w:val="CommentaireCar"/>
    <w:link w:val="Objetducommentaire"/>
    <w:uiPriority w:val="99"/>
    <w:semiHidden/>
    <w:qFormat/>
    <w:rsid w:val="007F6F59"/>
    <w:rPr>
      <w:rFonts w:ascii="Times New Roman" w:eastAsia="Times New Roman" w:hAnsi="Times New Roman" w:cs="Times New Roman"/>
      <w:b/>
      <w:bCs/>
      <w:sz w:val="20"/>
      <w:szCs w:val="20"/>
      <w:lang w:bidi="ar-SA"/>
    </w:rPr>
  </w:style>
  <w:style w:type="character" w:styleId="Numrodeligne">
    <w:name w:val="line number"/>
    <w:qFormat/>
  </w:style>
  <w:style w:type="character" w:styleId="Mentionnonrsolue">
    <w:name w:val="Unresolved Mention"/>
    <w:basedOn w:val="Policepardfaut"/>
    <w:uiPriority w:val="99"/>
    <w:semiHidden/>
    <w:unhideWhenUsed/>
    <w:qFormat/>
    <w:rsid w:val="009F50CF"/>
    <w:rPr>
      <w:color w:val="605E5C"/>
      <w:shd w:val="clear" w:color="auto" w:fill="E1DFDD"/>
    </w:rPr>
  </w:style>
  <w:style w:type="character" w:styleId="Accentuation">
    <w:name w:val="Emphasis"/>
    <w:basedOn w:val="Policepardfaut"/>
    <w:uiPriority w:val="20"/>
    <w:qFormat/>
    <w:rsid w:val="0048350A"/>
    <w:rPr>
      <w:i/>
      <w:iCs/>
    </w:rPr>
  </w:style>
  <w:style w:type="character" w:customStyle="1" w:styleId="normaltextrun">
    <w:name w:val="normaltextrun"/>
    <w:basedOn w:val="Policepardfaut"/>
    <w:qFormat/>
    <w:rsid w:val="005074EC"/>
  </w:style>
  <w:style w:type="character" w:customStyle="1" w:styleId="eop">
    <w:name w:val="eop"/>
    <w:basedOn w:val="Policepardfaut"/>
    <w:qFormat/>
    <w:rsid w:val="005074EC"/>
  </w:style>
  <w:style w:type="character" w:styleId="Mention">
    <w:name w:val="Mention"/>
    <w:basedOn w:val="Policepardfaut"/>
    <w:uiPriority w:val="99"/>
    <w:unhideWhenUsed/>
    <w:qFormat/>
    <w:rsid w:val="005074EC"/>
    <w:rPr>
      <w:color w:val="2B579A"/>
      <w:shd w:val="clear" w:color="auto" w:fill="E1DFDD"/>
    </w:rPr>
  </w:style>
  <w:style w:type="paragraph" w:styleId="Titre">
    <w:name w:val="Title"/>
    <w:basedOn w:val="Normal"/>
    <w:next w:val="Corpsdetexte"/>
    <w:uiPriority w:val="10"/>
    <w:qFormat/>
    <w:pPr>
      <w:jc w:val="center"/>
    </w:pPr>
    <w:rPr>
      <w:b/>
      <w:bCs/>
      <w:sz w:val="56"/>
      <w:szCs w:val="56"/>
    </w:rPr>
  </w:style>
  <w:style w:type="paragraph" w:styleId="Corpsdetexte">
    <w:name w:val="Body Text"/>
    <w:basedOn w:val="Normal"/>
    <w:pPr>
      <w:spacing w:after="140" w:line="288" w:lineRule="auto"/>
    </w:pPr>
  </w:style>
  <w:style w:type="paragraph" w:styleId="Liste">
    <w:name w:val="List"/>
    <w:basedOn w:val="Corpsdetexte"/>
    <w:rPr>
      <w:rFonts w:ascii="Arial" w:hAnsi="Arial" w:cs="Mangal"/>
    </w:rPr>
  </w:style>
  <w:style w:type="paragraph" w:styleId="Lgende">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ascii="Arial" w:hAnsi="Arial" w:cs="Mangal"/>
    </w:rPr>
  </w:style>
  <w:style w:type="paragraph" w:customStyle="1" w:styleId="caption1">
    <w:name w:val="caption1"/>
    <w:basedOn w:val="Normal"/>
    <w:qFormat/>
    <w:pPr>
      <w:suppressLineNumbers/>
      <w:spacing w:before="120" w:after="120"/>
    </w:pPr>
    <w:rPr>
      <w:rFonts w:cs="Arial Unicode MS"/>
      <w:i/>
      <w:iCs/>
    </w:rPr>
  </w:style>
  <w:style w:type="paragraph" w:customStyle="1" w:styleId="caption11">
    <w:name w:val="caption11"/>
    <w:basedOn w:val="Normal"/>
    <w:qFormat/>
    <w:pPr>
      <w:suppressLineNumbers/>
      <w:spacing w:before="120" w:after="120"/>
    </w:pPr>
    <w:rPr>
      <w:rFonts w:cs="Arial Unicode MS"/>
      <w:i/>
      <w:iCs/>
    </w:rPr>
  </w:style>
  <w:style w:type="paragraph" w:customStyle="1" w:styleId="caption111">
    <w:name w:val="caption111"/>
    <w:basedOn w:val="Normal"/>
    <w:qFormat/>
    <w:pPr>
      <w:suppressLineNumbers/>
      <w:spacing w:before="120" w:after="120"/>
    </w:pPr>
    <w:rPr>
      <w:rFonts w:ascii="Arial" w:hAnsi="Arial" w:cs="Mangal"/>
      <w:i/>
      <w:iCs/>
      <w:sz w:val="18"/>
    </w:rPr>
  </w:style>
  <w:style w:type="paragraph" w:customStyle="1" w:styleId="En-tteetpieddepage">
    <w:name w:val="En-tête et pied de page"/>
    <w:basedOn w:val="Normal"/>
    <w:qFormat/>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Textedebulles">
    <w:name w:val="Balloon Text"/>
    <w:basedOn w:val="Normal"/>
    <w:qFormat/>
    <w:rPr>
      <w:rFonts w:ascii="Tahoma" w:hAnsi="Tahoma" w:cs="Tahoma"/>
      <w:sz w:val="16"/>
      <w:szCs w:val="16"/>
    </w:rPr>
  </w:style>
  <w:style w:type="paragraph" w:customStyle="1" w:styleId="ChartVDNtexte">
    <w:name w:val="Chart_VDN_texte"/>
    <w:qFormat/>
    <w:pPr>
      <w:ind w:left="1134" w:right="284"/>
      <w:jc w:val="both"/>
    </w:pPr>
    <w:rPr>
      <w:rFonts w:ascii="Tahoma" w:eastAsia="Times New Roman" w:hAnsi="Tahoma" w:cs="Tahoma"/>
      <w:sz w:val="20"/>
      <w:szCs w:val="20"/>
      <w:lang w:bidi="ar-SA"/>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Blocdecitation">
    <w:name w:val="Bloc de citation"/>
    <w:basedOn w:val="Normal"/>
    <w:qFormat/>
    <w:pPr>
      <w:spacing w:after="283"/>
      <w:ind w:left="567" w:right="567"/>
    </w:pPr>
  </w:style>
  <w:style w:type="paragraph" w:styleId="Sous-titre">
    <w:name w:val="Subtitle"/>
    <w:basedOn w:val="Normal"/>
    <w:next w:val="Corpsdetexte"/>
    <w:uiPriority w:val="11"/>
    <w:qFormat/>
    <w:pPr>
      <w:spacing w:before="60" w:after="120"/>
      <w:jc w:val="center"/>
    </w:pPr>
    <w:rPr>
      <w:sz w:val="36"/>
      <w:szCs w:val="36"/>
    </w:rPr>
  </w:style>
  <w:style w:type="paragraph" w:customStyle="1" w:styleId="Default">
    <w:name w:val="Default"/>
    <w:qFormat/>
    <w:rPr>
      <w:rFonts w:ascii="Tahoma" w:eastAsia="SimSun" w:hAnsi="Tahoma" w:cs="Tahoma"/>
      <w:color w:val="000000"/>
    </w:rPr>
  </w:style>
  <w:style w:type="paragraph" w:customStyle="1" w:styleId="DefinitionTerm">
    <w:name w:val="Definition Term"/>
    <w:basedOn w:val="Normal"/>
    <w:qFormat/>
  </w:style>
  <w:style w:type="paragraph" w:customStyle="1" w:styleId="DefinitionList">
    <w:name w:val="Definition List"/>
    <w:basedOn w:val="Normal"/>
    <w:qFormat/>
    <w:pPr>
      <w:ind w:left="360"/>
    </w:pPr>
  </w:style>
  <w:style w:type="paragraph" w:customStyle="1" w:styleId="H1">
    <w:name w:val="H1"/>
    <w:basedOn w:val="Normal"/>
    <w:qFormat/>
    <w:pPr>
      <w:keepNext/>
      <w:spacing w:before="100" w:after="100"/>
      <w:outlineLvl w:val="1"/>
    </w:pPr>
    <w:rPr>
      <w:b/>
      <w:kern w:val="2"/>
      <w:sz w:val="48"/>
    </w:rPr>
  </w:style>
  <w:style w:type="paragraph" w:customStyle="1" w:styleId="H2">
    <w:name w:val="H2"/>
    <w:basedOn w:val="Normal"/>
    <w:qFormat/>
    <w:pPr>
      <w:keepNext/>
      <w:spacing w:before="100" w:after="100"/>
      <w:outlineLvl w:val="2"/>
    </w:pPr>
    <w:rPr>
      <w:b/>
      <w:sz w:val="36"/>
    </w:rPr>
  </w:style>
  <w:style w:type="paragraph" w:customStyle="1" w:styleId="H3">
    <w:name w:val="H3"/>
    <w:basedOn w:val="Normal"/>
    <w:qFormat/>
    <w:pPr>
      <w:keepNext/>
      <w:spacing w:before="100" w:after="100"/>
      <w:outlineLvl w:val="3"/>
    </w:pPr>
    <w:rPr>
      <w:b/>
      <w:sz w:val="28"/>
    </w:rPr>
  </w:style>
  <w:style w:type="paragraph" w:customStyle="1" w:styleId="H4">
    <w:name w:val="H4"/>
    <w:basedOn w:val="Normal"/>
    <w:qFormat/>
    <w:pPr>
      <w:keepNext/>
      <w:spacing w:before="100" w:after="100"/>
      <w:outlineLvl w:val="4"/>
    </w:pPr>
    <w:rPr>
      <w:b/>
    </w:rPr>
  </w:style>
  <w:style w:type="paragraph" w:customStyle="1" w:styleId="H5">
    <w:name w:val="H5"/>
    <w:basedOn w:val="Normal"/>
    <w:qFormat/>
    <w:pPr>
      <w:keepNext/>
      <w:spacing w:before="100" w:after="100"/>
      <w:outlineLvl w:val="5"/>
    </w:pPr>
    <w:rPr>
      <w:b/>
      <w:sz w:val="20"/>
    </w:rPr>
  </w:style>
  <w:style w:type="paragraph" w:customStyle="1" w:styleId="H6">
    <w:name w:val="H6"/>
    <w:basedOn w:val="Normal"/>
    <w:qFormat/>
    <w:pPr>
      <w:keepNext/>
      <w:spacing w:before="100" w:after="100"/>
      <w:outlineLvl w:val="6"/>
    </w:pPr>
    <w:rPr>
      <w:b/>
      <w:sz w:val="16"/>
    </w:rPr>
  </w:style>
  <w:style w:type="paragraph" w:customStyle="1" w:styleId="Address">
    <w:name w:val="Address"/>
    <w:basedOn w:val="Normal"/>
    <w:qFormat/>
    <w:rPr>
      <w:i/>
    </w:rPr>
  </w:style>
  <w:style w:type="paragraph" w:customStyle="1" w:styleId="Blockquote">
    <w:name w:val="Blockquote"/>
    <w:basedOn w:val="Normal"/>
    <w:qFormat/>
    <w:pPr>
      <w:spacing w:before="100" w:after="100"/>
      <w:ind w:left="360" w:right="360"/>
    </w:p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z-BottomofForm">
    <w:name w:val="z-Bottom of Form"/>
    <w:qFormat/>
    <w:pPr>
      <w:pBdr>
        <w:top w:val="double" w:sz="2" w:space="0" w:color="000000"/>
      </w:pBdr>
      <w:jc w:val="center"/>
    </w:pPr>
    <w:rPr>
      <w:rFonts w:ascii="Arial" w:eastAsia="Arial" w:hAnsi="Arial" w:cs="Courier New"/>
      <w:vanish/>
      <w:sz w:val="16"/>
    </w:rPr>
  </w:style>
  <w:style w:type="paragraph" w:customStyle="1" w:styleId="z-TopofForm">
    <w:name w:val="z-Top of Form"/>
    <w:qFormat/>
    <w:pPr>
      <w:pBdr>
        <w:bottom w:val="double" w:sz="2" w:space="0" w:color="000000"/>
      </w:pBdr>
      <w:jc w:val="center"/>
    </w:pPr>
    <w:rPr>
      <w:rFonts w:ascii="Arial" w:eastAsia="Arial" w:hAnsi="Arial" w:cs="Courier New"/>
      <w:vanish/>
      <w:sz w:val="16"/>
    </w:rPr>
  </w:style>
  <w:style w:type="paragraph" w:customStyle="1" w:styleId="TableauNormal1">
    <w:name w:val="Tableau Normal1"/>
    <w:qFormat/>
    <w:rPr>
      <w:rFonts w:ascii="Times New Roman" w:eastAsia="Symbol" w:hAnsi="Times New Roman" w:cs="Times New Roman"/>
      <w:sz w:val="20"/>
      <w:szCs w:val="20"/>
      <w:lang w:eastAsia="fr-FR" w:bidi="ar-SA"/>
    </w:rPr>
  </w:style>
  <w:style w:type="paragraph" w:styleId="NormalWeb">
    <w:name w:val="Normal (Web)"/>
    <w:basedOn w:val="Normal"/>
    <w:uiPriority w:val="99"/>
    <w:qFormat/>
  </w:style>
  <w:style w:type="paragraph" w:customStyle="1" w:styleId="western">
    <w:name w:val="western"/>
    <w:basedOn w:val="Normal"/>
    <w:qFormat/>
    <w:pPr>
      <w:spacing w:before="100" w:after="142" w:line="288" w:lineRule="auto"/>
    </w:pPr>
    <w:rPr>
      <w:color w:val="000000"/>
    </w:rPr>
  </w:style>
  <w:style w:type="paragraph" w:customStyle="1" w:styleId="NormalTable1">
    <w:name w:val="Normal Table1"/>
    <w:qFormat/>
    <w:rPr>
      <w:rFonts w:ascii="Times New Roman" w:eastAsia="Calibri" w:hAnsi="Times New Roman" w:cs="Times New Roman"/>
      <w:sz w:val="20"/>
      <w:szCs w:val="20"/>
      <w:lang w:eastAsia="fr-FR" w:bidi="ar-SA"/>
    </w:rPr>
  </w:style>
  <w:style w:type="paragraph" w:customStyle="1" w:styleId="Contenudecadre">
    <w:name w:val="Contenu de cadre"/>
    <w:basedOn w:val="Normal"/>
    <w:qFormat/>
  </w:style>
  <w:style w:type="paragraph" w:styleId="Commentaire">
    <w:name w:val="annotation text"/>
    <w:basedOn w:val="Normal"/>
    <w:link w:val="CommentaireCar"/>
    <w:uiPriority w:val="99"/>
    <w:unhideWhenUsed/>
    <w:qFormat/>
    <w:rPr>
      <w:sz w:val="20"/>
      <w:szCs w:val="20"/>
    </w:rPr>
  </w:style>
  <w:style w:type="paragraph" w:styleId="Objetducommentaire">
    <w:name w:val="annotation subject"/>
    <w:basedOn w:val="Commentaire"/>
    <w:next w:val="Commentaire"/>
    <w:link w:val="ObjetducommentaireCar"/>
    <w:uiPriority w:val="99"/>
    <w:semiHidden/>
    <w:unhideWhenUsed/>
    <w:qFormat/>
    <w:rsid w:val="007F6F59"/>
    <w:rPr>
      <w:b/>
      <w:bCs/>
    </w:rPr>
  </w:style>
  <w:style w:type="paragraph" w:styleId="Rvision">
    <w:name w:val="Revision"/>
    <w:uiPriority w:val="99"/>
    <w:semiHidden/>
    <w:qFormat/>
    <w:rsid w:val="0025248E"/>
    <w:pPr>
      <w:suppressAutoHyphens w:val="0"/>
    </w:pPr>
    <w:rPr>
      <w:rFonts w:ascii="Times New Roman" w:eastAsia="Times New Roman" w:hAnsi="Times New Roman" w:cs="Times New Roman"/>
      <w:lang w:bidi="ar-SA"/>
    </w:rPr>
  </w:style>
  <w:style w:type="paragraph" w:customStyle="1" w:styleId="TableauNormal2">
    <w:name w:val="Tableau Normal2"/>
    <w:qFormat/>
    <w:rPr>
      <w:rFonts w:ascii="Times New Roman" w:eastAsia="Calibri" w:hAnsi="Times New Roman" w:cs="Times New Roman"/>
      <w:sz w:val="20"/>
      <w:szCs w:val="20"/>
      <w:lang w:eastAsia="fr-FR" w:bidi="ar-SA"/>
    </w:rPr>
  </w:style>
  <w:style w:type="paragraph" w:styleId="Paragraphedeliste">
    <w:name w:val="List Paragraph"/>
    <w:basedOn w:val="Normal"/>
    <w:uiPriority w:val="34"/>
    <w:qFormat/>
    <w:rsid w:val="000629C3"/>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qFormat/>
    <w:rsid w:val="005074EC"/>
    <w:pPr>
      <w:suppressAutoHyphens w:val="0"/>
      <w:spacing w:beforeAutospacing="1" w:afterAutospacing="1"/>
    </w:pPr>
    <w:rPr>
      <w:lang w:eastAsia="fr-FR"/>
    </w:rPr>
  </w:style>
  <w:style w:type="numbering" w:customStyle="1" w:styleId="WW8Num1">
    <w:name w:val="WW8Num1"/>
    <w:qFormat/>
  </w:style>
  <w:style w:type="table" w:styleId="Grilledutableau">
    <w:name w:val="Table Grid"/>
    <w:basedOn w:val="TableauNormal"/>
    <w:uiPriority w:val="39"/>
    <w:rsid w:val="00062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valorem-energie.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image" Target="media/image9.pn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F8B02-FD0A-4FEB-8CD9-57422BD5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1973</Words>
  <Characters>10857</Characters>
  <Application>Microsoft Office Word</Application>
  <DocSecurity>0</DocSecurity>
  <Lines>90</Lines>
  <Paragraphs>25</Paragraphs>
  <ScaleCrop>false</ScaleCrop>
  <Company>Nantes</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Nantes, le 13 janvier 2015</dc:title>
  <dc:subject/>
  <dc:creator>AACOM011</dc:creator>
  <dc:description/>
  <cp:lastModifiedBy>CANCE Samuel</cp:lastModifiedBy>
  <cp:revision>15</cp:revision>
  <cp:lastPrinted>2025-05-05T08:06:00Z</cp:lastPrinted>
  <dcterms:created xsi:type="dcterms:W3CDTF">2025-05-13T07:03:00Z</dcterms:created>
  <dcterms:modified xsi:type="dcterms:W3CDTF">2025-05-20T15:39:00Z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